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Y="325"/>
        <w:tblW w:w="0" w:type="auto"/>
        <w:tblLook w:val="04A0" w:firstRow="1" w:lastRow="0" w:firstColumn="1" w:lastColumn="0" w:noHBand="0" w:noVBand="1"/>
      </w:tblPr>
      <w:tblGrid>
        <w:gridCol w:w="1696"/>
        <w:gridCol w:w="8500"/>
      </w:tblGrid>
      <w:tr w:rsidR="00716314" w:rsidTr="00716314">
        <w:trPr>
          <w:trHeight w:val="416"/>
        </w:trPr>
        <w:tc>
          <w:tcPr>
            <w:tcW w:w="1696" w:type="dxa"/>
          </w:tcPr>
          <w:p w:rsidR="00716314" w:rsidRDefault="00716314" w:rsidP="00716314">
            <w:pPr>
              <w:rPr>
                <w:rFonts w:asciiTheme="majorHAnsi" w:hAnsiTheme="majorHAnsi" w:cs="Arial"/>
                <w:b/>
                <w:bCs/>
                <w:szCs w:val="22"/>
              </w:rPr>
            </w:pPr>
            <w:r>
              <w:rPr>
                <w:b/>
                <w:u w:val="single"/>
              </w:rPr>
              <w:t xml:space="preserve">Sayı </w:t>
            </w:r>
            <w:proofErr w:type="gramStart"/>
            <w:r>
              <w:rPr>
                <w:b/>
                <w:u w:val="single"/>
              </w:rPr>
              <w:t xml:space="preserve">  :</w:t>
            </w:r>
            <w:proofErr w:type="gramEnd"/>
          </w:p>
        </w:tc>
        <w:tc>
          <w:tcPr>
            <w:tcW w:w="8500" w:type="dxa"/>
          </w:tcPr>
          <w:p w:rsidR="00716314" w:rsidRDefault="00716314" w:rsidP="00716314">
            <w:pPr>
              <w:rPr>
                <w:rFonts w:asciiTheme="majorHAnsi" w:hAnsiTheme="majorHAnsi" w:cs="Arial"/>
                <w:b/>
                <w:bCs/>
                <w:szCs w:val="22"/>
              </w:rPr>
            </w:pPr>
            <w:r>
              <w:rPr>
                <w:b/>
                <w:color w:val="FF0000"/>
              </w:rPr>
              <w:t>2018</w:t>
            </w:r>
            <w:r w:rsidR="00B2793C">
              <w:rPr>
                <w:b/>
                <w:color w:val="FF0000"/>
              </w:rPr>
              <w:t>/03</w:t>
            </w:r>
            <w:bookmarkStart w:id="0" w:name="_GoBack"/>
            <w:bookmarkEnd w:id="0"/>
          </w:p>
        </w:tc>
      </w:tr>
      <w:tr w:rsidR="00716314" w:rsidTr="00716314">
        <w:trPr>
          <w:trHeight w:val="422"/>
        </w:trPr>
        <w:tc>
          <w:tcPr>
            <w:tcW w:w="1696" w:type="dxa"/>
          </w:tcPr>
          <w:p w:rsidR="00716314" w:rsidRDefault="00716314" w:rsidP="00716314">
            <w:pPr>
              <w:rPr>
                <w:rFonts w:asciiTheme="majorHAnsi" w:hAnsiTheme="majorHAnsi" w:cs="Arial"/>
                <w:b/>
                <w:bCs/>
                <w:szCs w:val="22"/>
              </w:rPr>
            </w:pPr>
            <w:proofErr w:type="gramStart"/>
            <w:r>
              <w:rPr>
                <w:b/>
                <w:color w:val="000000"/>
                <w:u w:val="single"/>
              </w:rPr>
              <w:t>Konu :</w:t>
            </w:r>
            <w:proofErr w:type="gramEnd"/>
          </w:p>
        </w:tc>
        <w:tc>
          <w:tcPr>
            <w:tcW w:w="8500" w:type="dxa"/>
          </w:tcPr>
          <w:p w:rsidR="00716314" w:rsidRDefault="00716314" w:rsidP="00716314">
            <w:pPr>
              <w:rPr>
                <w:rFonts w:asciiTheme="majorHAnsi" w:hAnsiTheme="majorHAnsi" w:cs="Arial"/>
                <w:b/>
                <w:bCs/>
                <w:szCs w:val="22"/>
              </w:rPr>
            </w:pPr>
            <w:r>
              <w:rPr>
                <w:color w:val="000000"/>
              </w:rPr>
              <w:t xml:space="preserve">Vergiden İstisna Kıdem </w:t>
            </w:r>
            <w:proofErr w:type="gramStart"/>
            <w:r>
              <w:rPr>
                <w:color w:val="000000"/>
              </w:rPr>
              <w:t>Tazminatı,  Çocuk</w:t>
            </w:r>
            <w:proofErr w:type="gramEnd"/>
            <w:r>
              <w:rPr>
                <w:color w:val="000000"/>
              </w:rPr>
              <w:t xml:space="preserve"> Yardımı Ve Aile Yardımı İçin Yapılan Ödemelerde  İstisna Sınırı</w:t>
            </w:r>
            <w:r>
              <w:rPr>
                <w:b/>
                <w:color w:val="000000"/>
                <w:u w:val="single"/>
              </w:rPr>
              <w:t xml:space="preserve">  </w:t>
            </w:r>
          </w:p>
        </w:tc>
      </w:tr>
    </w:tbl>
    <w:p w:rsidR="003F571F" w:rsidRDefault="003F571F" w:rsidP="0033210E">
      <w:pPr>
        <w:rPr>
          <w:rFonts w:asciiTheme="majorHAnsi" w:hAnsiTheme="majorHAnsi" w:cs="Arial"/>
          <w:b/>
          <w:bCs/>
          <w:szCs w:val="22"/>
        </w:rPr>
      </w:pPr>
    </w:p>
    <w:p w:rsidR="00716314" w:rsidRDefault="00716314" w:rsidP="0033210E">
      <w:pPr>
        <w:rPr>
          <w:rFonts w:asciiTheme="majorHAnsi" w:hAnsiTheme="majorHAnsi" w:cs="Arial"/>
          <w:b/>
          <w:bCs/>
          <w:szCs w:val="22"/>
        </w:rPr>
      </w:pPr>
    </w:p>
    <w:p w:rsidR="00716314" w:rsidRDefault="00716314" w:rsidP="0033210E">
      <w:pPr>
        <w:rPr>
          <w:rFonts w:asciiTheme="majorHAnsi" w:hAnsiTheme="majorHAnsi" w:cs="Arial"/>
          <w:b/>
          <w:bCs/>
          <w:szCs w:val="22"/>
        </w:rPr>
      </w:pPr>
    </w:p>
    <w:p w:rsidR="00716314" w:rsidRDefault="00716314" w:rsidP="00716314">
      <w:pPr>
        <w:pStyle w:val="NormalWeb"/>
        <w:shd w:val="clear" w:color="auto" w:fill="FFFFFF"/>
        <w:spacing w:before="0" w:beforeAutospacing="0" w:after="0" w:afterAutospacing="0" w:line="300" w:lineRule="atLeast"/>
        <w:ind w:firstLine="708"/>
        <w:jc w:val="both"/>
        <w:rPr>
          <w:color w:val="000000"/>
        </w:rPr>
      </w:pPr>
      <w:r>
        <w:rPr>
          <w:color w:val="000000"/>
        </w:rPr>
        <w:t>1.1.2018 / 30.06.2018 ile 1.7.2018 / 31.12.2018 tarihleri arasında geçerli olmak üzere uygulanacak vergiden istisna kıdem tazminatı, çocuk yardımı ve aile yardımı için yapılan ödemelerde istisna sınırları yeniden belirlenmiştir.</w:t>
      </w:r>
    </w:p>
    <w:p w:rsidR="00716314" w:rsidRDefault="00716314" w:rsidP="00716314">
      <w:pPr>
        <w:pStyle w:val="NormalWeb"/>
        <w:shd w:val="clear" w:color="auto" w:fill="FFFFFF"/>
        <w:spacing w:before="0" w:beforeAutospacing="0" w:after="0" w:afterAutospacing="0" w:line="300" w:lineRule="atLeast"/>
        <w:ind w:firstLine="708"/>
        <w:jc w:val="both"/>
        <w:rPr>
          <w:color w:val="000000"/>
        </w:rPr>
      </w:pPr>
    </w:p>
    <w:p w:rsidR="00716314" w:rsidRDefault="00716314" w:rsidP="00716314">
      <w:pPr>
        <w:pStyle w:val="NormalWeb"/>
        <w:shd w:val="clear" w:color="auto" w:fill="FFFFFF"/>
        <w:spacing w:before="0" w:beforeAutospacing="0" w:after="0" w:afterAutospacing="0" w:line="300" w:lineRule="atLeast"/>
        <w:ind w:firstLine="708"/>
        <w:jc w:val="both"/>
        <w:rPr>
          <w:b/>
          <w:i/>
          <w:color w:val="000000"/>
          <w:u w:val="single"/>
        </w:rPr>
      </w:pPr>
      <w:r>
        <w:rPr>
          <w:color w:val="000000"/>
        </w:rPr>
        <w:t xml:space="preserve"> Buna </w:t>
      </w:r>
      <w:proofErr w:type="gramStart"/>
      <w:r>
        <w:rPr>
          <w:color w:val="000000"/>
        </w:rPr>
        <w:t>göre ;</w:t>
      </w:r>
      <w:proofErr w:type="gramEnd"/>
      <w:r>
        <w:rPr>
          <w:color w:val="000000"/>
        </w:rPr>
        <w:t xml:space="preserve"> </w:t>
      </w:r>
      <w:r>
        <w:rPr>
          <w:i/>
          <w:color w:val="000000"/>
          <w:u w:val="single"/>
        </w:rPr>
        <w:t>Gelir Vergisinden istisna edilecek kıdem tazminatı 1.1.2018 tarihinden itibaren 5,001,75 TL ve 01.07.2018 tarihinden itibaren 5,094,07 TL’dir. 01.01.2018 / 30.06.2018 tarihleri arasında geçerli olan gelir vergisinden istisna çocuk zammı tek çocuk için 0-6 yaş grubu 54,28 TL ve 6 yaş üstü için 27,54 TL’dir</w:t>
      </w:r>
      <w:r>
        <w:rPr>
          <w:b/>
          <w:i/>
          <w:color w:val="000000"/>
          <w:u w:val="single"/>
        </w:rPr>
        <w:t xml:space="preserve">.   </w:t>
      </w:r>
    </w:p>
    <w:p w:rsidR="00716314" w:rsidRDefault="00716314" w:rsidP="00716314">
      <w:pPr>
        <w:pStyle w:val="NormalWeb"/>
        <w:shd w:val="clear" w:color="auto" w:fill="FFFFFF"/>
        <w:spacing w:line="300" w:lineRule="atLeast"/>
        <w:ind w:firstLine="708"/>
        <w:jc w:val="both"/>
        <w:rPr>
          <w:color w:val="000000"/>
          <w:shd w:val="clear" w:color="auto" w:fill="FFFFFF"/>
        </w:rPr>
      </w:pPr>
      <w:r>
        <w:rPr>
          <w:color w:val="000000"/>
          <w:shd w:val="clear" w:color="auto" w:fill="FFFFFF"/>
        </w:rPr>
        <w:t xml:space="preserve">Maliye Bakanlığı 04.01.2018 tarihli ve 27998389-010-06-02-138 sayılı Genelge ile 01/01/2018 – 30/06/2018 tarihleri </w:t>
      </w:r>
      <w:r>
        <w:rPr>
          <w:color w:val="000000"/>
        </w:rPr>
        <w:t>ile ayrıca bir düzenleme yapılmazsa 1.7.2018 / 31.12.2018 tarihleri arasında uygulanmak üzere</w:t>
      </w:r>
      <w:r>
        <w:rPr>
          <w:color w:val="000000"/>
          <w:shd w:val="clear" w:color="auto" w:fill="FFFFFF"/>
        </w:rPr>
        <w:t xml:space="preserve"> memur maaş katsayılarını aşağıdaki şekilde belirlemiştir.</w:t>
      </w:r>
    </w:p>
    <w:p w:rsidR="00716314" w:rsidRPr="00716314" w:rsidRDefault="00716314" w:rsidP="00716314">
      <w:pPr>
        <w:pStyle w:val="NormalWeb"/>
        <w:shd w:val="clear" w:color="auto" w:fill="FFFFFF"/>
        <w:spacing w:line="300" w:lineRule="atLeast"/>
        <w:ind w:firstLine="708"/>
        <w:jc w:val="both"/>
        <w:rPr>
          <w:color w:val="000000"/>
          <w:shd w:val="clear" w:color="auto" w:fill="FFFFFF"/>
        </w:rPr>
      </w:pPr>
    </w:p>
    <w:tbl>
      <w:tblPr>
        <w:tblW w:w="9125" w:type="dxa"/>
        <w:tblCellMar>
          <w:left w:w="70" w:type="dxa"/>
          <w:right w:w="70" w:type="dxa"/>
        </w:tblCellMar>
        <w:tblLook w:val="04A0" w:firstRow="1" w:lastRow="0" w:firstColumn="1" w:lastColumn="0" w:noHBand="0" w:noVBand="1"/>
      </w:tblPr>
      <w:tblGrid>
        <w:gridCol w:w="4047"/>
        <w:gridCol w:w="2368"/>
        <w:gridCol w:w="2710"/>
      </w:tblGrid>
      <w:tr w:rsidR="00716314" w:rsidTr="00716314">
        <w:trPr>
          <w:trHeight w:val="299"/>
        </w:trPr>
        <w:tc>
          <w:tcPr>
            <w:tcW w:w="4047"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Katsayılar</w:t>
            </w:r>
          </w:p>
        </w:tc>
        <w:tc>
          <w:tcPr>
            <w:tcW w:w="2368"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bCs/>
                <w:color w:val="000000"/>
              </w:rPr>
            </w:pPr>
            <w:r>
              <w:rPr>
                <w:b/>
                <w:bCs/>
                <w:color w:val="000000"/>
              </w:rPr>
              <w:t xml:space="preserve">1.1.2018-30.6.2018 </w:t>
            </w:r>
          </w:p>
        </w:tc>
        <w:tc>
          <w:tcPr>
            <w:tcW w:w="2710"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bCs/>
                <w:color w:val="000000"/>
              </w:rPr>
            </w:pPr>
            <w:r>
              <w:rPr>
                <w:b/>
                <w:bCs/>
                <w:color w:val="000000"/>
              </w:rPr>
              <w:t xml:space="preserve">1.7.2018-31.12.2018 </w:t>
            </w:r>
          </w:p>
        </w:tc>
      </w:tr>
      <w:tr w:rsidR="00716314" w:rsidTr="00716314">
        <w:trPr>
          <w:trHeight w:val="299"/>
        </w:trPr>
        <w:tc>
          <w:tcPr>
            <w:tcW w:w="4047" w:type="dxa"/>
            <w:tcBorders>
              <w:top w:val="nil"/>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 xml:space="preserve">Memur aylığı katsayısı </w:t>
            </w:r>
          </w:p>
        </w:tc>
        <w:tc>
          <w:tcPr>
            <w:tcW w:w="23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0,108550</w:t>
            </w:r>
          </w:p>
        </w:tc>
        <w:tc>
          <w:tcPr>
            <w:tcW w:w="2710"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 xml:space="preserve">0.110554 </w:t>
            </w:r>
          </w:p>
        </w:tc>
      </w:tr>
      <w:tr w:rsidR="00716314" w:rsidTr="00716314">
        <w:trPr>
          <w:trHeight w:val="299"/>
        </w:trPr>
        <w:tc>
          <w:tcPr>
            <w:tcW w:w="4047" w:type="dxa"/>
            <w:tcBorders>
              <w:top w:val="nil"/>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 xml:space="preserve">Memuriyet taban aylığı katsayısı </w:t>
            </w:r>
          </w:p>
        </w:tc>
        <w:tc>
          <w:tcPr>
            <w:tcW w:w="23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1,699121</w:t>
            </w:r>
          </w:p>
        </w:tc>
        <w:tc>
          <w:tcPr>
            <w:tcW w:w="2710"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1.730.469</w:t>
            </w:r>
          </w:p>
        </w:tc>
      </w:tr>
      <w:tr w:rsidR="00716314" w:rsidTr="00716314">
        <w:trPr>
          <w:trHeight w:val="299"/>
        </w:trPr>
        <w:tc>
          <w:tcPr>
            <w:tcW w:w="4047" w:type="dxa"/>
            <w:tcBorders>
              <w:top w:val="nil"/>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 xml:space="preserve">Yan ödeme katsayısı </w:t>
            </w:r>
          </w:p>
        </w:tc>
        <w:tc>
          <w:tcPr>
            <w:tcW w:w="23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0,034424</w:t>
            </w:r>
          </w:p>
        </w:tc>
        <w:tc>
          <w:tcPr>
            <w:tcW w:w="2710"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0,035059</w:t>
            </w:r>
          </w:p>
        </w:tc>
      </w:tr>
    </w:tbl>
    <w:p w:rsidR="00716314" w:rsidRDefault="00716314" w:rsidP="00716314">
      <w:pPr>
        <w:pStyle w:val="NormalWeb"/>
        <w:shd w:val="clear" w:color="auto" w:fill="FFFFFF"/>
        <w:spacing w:line="300" w:lineRule="atLeast"/>
        <w:ind w:firstLine="708"/>
        <w:jc w:val="both"/>
        <w:rPr>
          <w:b/>
        </w:rPr>
      </w:pPr>
    </w:p>
    <w:p w:rsidR="00716314" w:rsidRDefault="00716314" w:rsidP="00716314">
      <w:pPr>
        <w:pStyle w:val="NormalWeb"/>
        <w:shd w:val="clear" w:color="auto" w:fill="FFFFFF"/>
        <w:spacing w:line="300" w:lineRule="atLeast"/>
        <w:ind w:firstLine="708"/>
        <w:jc w:val="both"/>
        <w:rPr>
          <w:b/>
        </w:rPr>
      </w:pPr>
      <w:r>
        <w:rPr>
          <w:b/>
        </w:rPr>
        <w:t xml:space="preserve">A- KIDEM TAZMİNATI     </w:t>
      </w:r>
    </w:p>
    <w:p w:rsidR="00716314" w:rsidRDefault="00716314" w:rsidP="00716314">
      <w:pPr>
        <w:pStyle w:val="NormalWeb"/>
        <w:shd w:val="clear" w:color="auto" w:fill="FFFFFF"/>
        <w:spacing w:before="0" w:beforeAutospacing="0" w:after="150" w:afterAutospacing="0" w:line="300" w:lineRule="atLeast"/>
        <w:jc w:val="both"/>
        <w:rPr>
          <w:color w:val="000000"/>
        </w:rPr>
      </w:pPr>
      <w:r>
        <w:rPr>
          <w:b/>
        </w:rPr>
        <w:tab/>
      </w:r>
      <w:r>
        <w:rPr>
          <w:color w:val="000000"/>
        </w:rPr>
        <w:t xml:space="preserve">Kıdem tazminatı tavan tutarı, Devlet Memurları Kanununa tabi en yüksek Devlet memuruna bir hizmet yılı için ödenecek azami emeklilik ikramiyesini </w:t>
      </w:r>
      <w:proofErr w:type="spellStart"/>
      <w:proofErr w:type="gramStart"/>
      <w:r>
        <w:rPr>
          <w:color w:val="000000"/>
        </w:rPr>
        <w:t>geçememektedir.Devlet</w:t>
      </w:r>
      <w:proofErr w:type="spellEnd"/>
      <w:proofErr w:type="gramEnd"/>
      <w:r>
        <w:rPr>
          <w:color w:val="000000"/>
        </w:rPr>
        <w:t xml:space="preserve"> Memurlarına bir hizmet yılı için ödenmekte olan emeklilik ikramiyesinin hesabında aşağıda belirtilen ödemelerin toplamı esas alınmaktadır:</w:t>
      </w:r>
    </w:p>
    <w:p w:rsidR="00716314" w:rsidRDefault="00716314" w:rsidP="00716314">
      <w:pPr>
        <w:pStyle w:val="NormalWeb"/>
        <w:shd w:val="clear" w:color="auto" w:fill="FFFFFF"/>
        <w:spacing w:before="0" w:beforeAutospacing="0" w:after="150" w:afterAutospacing="0" w:line="300" w:lineRule="atLeast"/>
        <w:jc w:val="both"/>
        <w:rPr>
          <w:color w:val="000000"/>
        </w:rPr>
      </w:pPr>
    </w:p>
    <w:tbl>
      <w:tblPr>
        <w:tblW w:w="9089" w:type="dxa"/>
        <w:tblCellMar>
          <w:left w:w="70" w:type="dxa"/>
          <w:right w:w="70" w:type="dxa"/>
        </w:tblCellMar>
        <w:tblLook w:val="04A0" w:firstRow="1" w:lastRow="0" w:firstColumn="1" w:lastColumn="0" w:noHBand="0" w:noVBand="1"/>
      </w:tblPr>
      <w:tblGrid>
        <w:gridCol w:w="4073"/>
        <w:gridCol w:w="1116"/>
        <w:gridCol w:w="3900"/>
      </w:tblGrid>
      <w:tr w:rsidR="00716314" w:rsidTr="00716314">
        <w:trPr>
          <w:trHeight w:val="303"/>
        </w:trPr>
        <w:tc>
          <w:tcPr>
            <w:tcW w:w="4073"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Aylık Gösterge</w:t>
            </w:r>
          </w:p>
        </w:tc>
        <w:tc>
          <w:tcPr>
            <w:tcW w:w="1116"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3900" w:type="dxa"/>
            <w:tcBorders>
              <w:top w:val="single" w:sz="4" w:space="0" w:color="auto"/>
              <w:left w:val="nil"/>
              <w:bottom w:val="single" w:sz="4" w:space="0" w:color="auto"/>
              <w:right w:val="single" w:sz="4" w:space="0" w:color="auto"/>
            </w:tcBorders>
            <w:noWrap/>
            <w:vAlign w:val="bottom"/>
            <w:hideMark/>
          </w:tcPr>
          <w:p w:rsidR="00716314" w:rsidRDefault="00716314">
            <w:pPr>
              <w:rPr>
                <w:color w:val="000000"/>
              </w:rPr>
            </w:pPr>
            <w:r>
              <w:rPr>
                <w:color w:val="000000"/>
              </w:rPr>
              <w:t>Aylık Katsayısı</w:t>
            </w:r>
          </w:p>
        </w:tc>
      </w:tr>
      <w:tr w:rsidR="00716314" w:rsidTr="00716314">
        <w:trPr>
          <w:trHeight w:val="303"/>
        </w:trPr>
        <w:tc>
          <w:tcPr>
            <w:tcW w:w="407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Ek Gösterge</w:t>
            </w:r>
          </w:p>
        </w:tc>
        <w:tc>
          <w:tcPr>
            <w:tcW w:w="1116"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390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Aylık Katsayısı</w:t>
            </w:r>
          </w:p>
        </w:tc>
      </w:tr>
      <w:tr w:rsidR="00716314" w:rsidTr="00716314">
        <w:trPr>
          <w:trHeight w:val="303"/>
        </w:trPr>
        <w:tc>
          <w:tcPr>
            <w:tcW w:w="407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Kıdem Aylığı Toplam Göstergesi</w:t>
            </w:r>
          </w:p>
        </w:tc>
        <w:tc>
          <w:tcPr>
            <w:tcW w:w="1116"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390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Aylık Katsayısı</w:t>
            </w:r>
          </w:p>
        </w:tc>
      </w:tr>
      <w:tr w:rsidR="00716314" w:rsidTr="00716314">
        <w:trPr>
          <w:trHeight w:val="303"/>
        </w:trPr>
        <w:tc>
          <w:tcPr>
            <w:tcW w:w="407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Taban Aylık Göstergesi</w:t>
            </w:r>
          </w:p>
        </w:tc>
        <w:tc>
          <w:tcPr>
            <w:tcW w:w="1116"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390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Taban Aylık Katsayısı</w:t>
            </w:r>
          </w:p>
        </w:tc>
      </w:tr>
      <w:tr w:rsidR="00716314" w:rsidTr="00716314">
        <w:trPr>
          <w:trHeight w:val="303"/>
        </w:trPr>
        <w:tc>
          <w:tcPr>
            <w:tcW w:w="407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(Aylık Gösterge + Ek Gösterge)</w:t>
            </w:r>
          </w:p>
        </w:tc>
        <w:tc>
          <w:tcPr>
            <w:tcW w:w="1116"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390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Aylık Katsayısı X (</w:t>
            </w:r>
            <w:proofErr w:type="gramStart"/>
            <w:r>
              <w:rPr>
                <w:color w:val="000000"/>
              </w:rPr>
              <w:t>% 215</w:t>
            </w:r>
            <w:proofErr w:type="gramEnd"/>
            <w:r>
              <w:rPr>
                <w:color w:val="000000"/>
              </w:rPr>
              <w:t>)</w:t>
            </w:r>
          </w:p>
        </w:tc>
      </w:tr>
    </w:tbl>
    <w:p w:rsidR="00716314" w:rsidRDefault="00716314" w:rsidP="00716314">
      <w:pPr>
        <w:shd w:val="clear" w:color="auto" w:fill="FFFFFF"/>
        <w:spacing w:after="150" w:line="300" w:lineRule="atLeast"/>
        <w:jc w:val="both"/>
        <w:rPr>
          <w:color w:val="000000"/>
        </w:rPr>
      </w:pPr>
    </w:p>
    <w:p w:rsidR="00716314" w:rsidRDefault="00716314" w:rsidP="00716314">
      <w:pPr>
        <w:shd w:val="clear" w:color="auto" w:fill="FFFFFF"/>
        <w:spacing w:after="150" w:line="300" w:lineRule="atLeast"/>
        <w:jc w:val="both"/>
        <w:rPr>
          <w:color w:val="000000"/>
        </w:rPr>
      </w:pPr>
    </w:p>
    <w:p w:rsidR="00716314" w:rsidRDefault="00716314" w:rsidP="00716314">
      <w:pPr>
        <w:shd w:val="clear" w:color="auto" w:fill="FFFFFF"/>
        <w:spacing w:after="150" w:line="300" w:lineRule="atLeast"/>
        <w:jc w:val="both"/>
        <w:rPr>
          <w:color w:val="000000"/>
        </w:rPr>
      </w:pPr>
    </w:p>
    <w:p w:rsidR="00716314" w:rsidRDefault="00716314" w:rsidP="00716314">
      <w:pPr>
        <w:shd w:val="clear" w:color="auto" w:fill="FFFFFF"/>
        <w:spacing w:after="150" w:line="300" w:lineRule="atLeast"/>
        <w:jc w:val="both"/>
        <w:rPr>
          <w:color w:val="000000"/>
        </w:rPr>
      </w:pPr>
    </w:p>
    <w:p w:rsidR="00716314" w:rsidRDefault="00716314" w:rsidP="00716314">
      <w:pPr>
        <w:shd w:val="clear" w:color="auto" w:fill="FFFFFF"/>
        <w:spacing w:after="150" w:line="300" w:lineRule="atLeast"/>
        <w:jc w:val="both"/>
        <w:rPr>
          <w:color w:val="000000"/>
        </w:rPr>
      </w:pPr>
      <w:r>
        <w:rPr>
          <w:color w:val="000000"/>
        </w:rPr>
        <w:lastRenderedPageBreak/>
        <w:t>Buna göre 1.1.2018 / 30.06.2018 döneminde geçerli olan Kıdem Tazminatı Tavanı aşağıdaki gibi olmaktadır.</w:t>
      </w:r>
    </w:p>
    <w:tbl>
      <w:tblPr>
        <w:tblW w:w="9178" w:type="dxa"/>
        <w:tblCellMar>
          <w:left w:w="70" w:type="dxa"/>
          <w:right w:w="70" w:type="dxa"/>
        </w:tblCellMar>
        <w:tblLook w:val="04A0" w:firstRow="1" w:lastRow="0" w:firstColumn="1" w:lastColumn="0" w:noHBand="0" w:noVBand="1"/>
      </w:tblPr>
      <w:tblGrid>
        <w:gridCol w:w="1831"/>
        <w:gridCol w:w="1072"/>
        <w:gridCol w:w="2449"/>
        <w:gridCol w:w="1989"/>
        <w:gridCol w:w="1837"/>
      </w:tblGrid>
      <w:tr w:rsidR="00716314" w:rsidTr="00716314">
        <w:trPr>
          <w:trHeight w:val="288"/>
        </w:trPr>
        <w:tc>
          <w:tcPr>
            <w:tcW w:w="1831"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1.500</w:t>
            </w:r>
          </w:p>
        </w:tc>
        <w:tc>
          <w:tcPr>
            <w:tcW w:w="1072"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2449" w:type="dxa"/>
            <w:tcBorders>
              <w:top w:val="single" w:sz="4" w:space="0" w:color="auto"/>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0,10855</w:t>
            </w:r>
          </w:p>
        </w:tc>
        <w:tc>
          <w:tcPr>
            <w:tcW w:w="1989"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w:t>
            </w:r>
          </w:p>
        </w:tc>
        <w:tc>
          <w:tcPr>
            <w:tcW w:w="1837" w:type="dxa"/>
            <w:tcBorders>
              <w:top w:val="single" w:sz="4" w:space="0" w:color="auto"/>
              <w:left w:val="nil"/>
              <w:bottom w:val="single" w:sz="4" w:space="0" w:color="auto"/>
              <w:right w:val="single" w:sz="4" w:space="0" w:color="auto"/>
            </w:tcBorders>
            <w:noWrap/>
            <w:vAlign w:val="bottom"/>
            <w:hideMark/>
          </w:tcPr>
          <w:p w:rsidR="00716314" w:rsidRDefault="00716314">
            <w:pPr>
              <w:jc w:val="right"/>
              <w:rPr>
                <w:color w:val="000000"/>
              </w:rPr>
            </w:pPr>
            <w:r>
              <w:rPr>
                <w:color w:val="000000"/>
              </w:rPr>
              <w:t>162,825</w:t>
            </w:r>
          </w:p>
        </w:tc>
      </w:tr>
      <w:tr w:rsidR="00716314" w:rsidTr="00716314">
        <w:trPr>
          <w:trHeight w:val="288"/>
        </w:trPr>
        <w:tc>
          <w:tcPr>
            <w:tcW w:w="183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8.000</w:t>
            </w:r>
          </w:p>
        </w:tc>
        <w:tc>
          <w:tcPr>
            <w:tcW w:w="1072"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24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0,10855</w:t>
            </w:r>
          </w:p>
        </w:tc>
        <w:tc>
          <w:tcPr>
            <w:tcW w:w="1989"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w:t>
            </w:r>
          </w:p>
        </w:tc>
        <w:tc>
          <w:tcPr>
            <w:tcW w:w="1837"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868,4</w:t>
            </w:r>
          </w:p>
        </w:tc>
      </w:tr>
      <w:tr w:rsidR="00716314" w:rsidTr="00716314">
        <w:trPr>
          <w:trHeight w:val="288"/>
        </w:trPr>
        <w:tc>
          <w:tcPr>
            <w:tcW w:w="183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500</w:t>
            </w:r>
          </w:p>
        </w:tc>
        <w:tc>
          <w:tcPr>
            <w:tcW w:w="1072"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24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0,10855</w:t>
            </w:r>
          </w:p>
        </w:tc>
        <w:tc>
          <w:tcPr>
            <w:tcW w:w="1989"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w:t>
            </w:r>
          </w:p>
        </w:tc>
        <w:tc>
          <w:tcPr>
            <w:tcW w:w="1837"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54,275</w:t>
            </w:r>
          </w:p>
        </w:tc>
      </w:tr>
      <w:tr w:rsidR="00716314" w:rsidTr="00716314">
        <w:trPr>
          <w:trHeight w:val="288"/>
        </w:trPr>
        <w:tc>
          <w:tcPr>
            <w:tcW w:w="183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1.000</w:t>
            </w:r>
          </w:p>
        </w:tc>
        <w:tc>
          <w:tcPr>
            <w:tcW w:w="1072"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24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1,699121</w:t>
            </w:r>
          </w:p>
        </w:tc>
        <w:tc>
          <w:tcPr>
            <w:tcW w:w="1989"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w:t>
            </w:r>
          </w:p>
        </w:tc>
        <w:tc>
          <w:tcPr>
            <w:tcW w:w="1837"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1699,121</w:t>
            </w:r>
          </w:p>
        </w:tc>
      </w:tr>
      <w:tr w:rsidR="00716314" w:rsidTr="00716314">
        <w:trPr>
          <w:trHeight w:val="288"/>
        </w:trPr>
        <w:tc>
          <w:tcPr>
            <w:tcW w:w="183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(1.500+8.000)</w:t>
            </w:r>
          </w:p>
        </w:tc>
        <w:tc>
          <w:tcPr>
            <w:tcW w:w="1072"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X</w:t>
            </w:r>
          </w:p>
        </w:tc>
        <w:tc>
          <w:tcPr>
            <w:tcW w:w="24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0,108550 X (</w:t>
            </w:r>
            <w:proofErr w:type="gramStart"/>
            <w:r>
              <w:rPr>
                <w:color w:val="000000"/>
              </w:rPr>
              <w:t>% 215</w:t>
            </w:r>
            <w:proofErr w:type="gramEnd"/>
            <w:r>
              <w:rPr>
                <w:color w:val="000000"/>
              </w:rPr>
              <w:t>)</w:t>
            </w:r>
          </w:p>
        </w:tc>
        <w:tc>
          <w:tcPr>
            <w:tcW w:w="1989"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w:t>
            </w:r>
          </w:p>
        </w:tc>
        <w:tc>
          <w:tcPr>
            <w:tcW w:w="1837"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2.217,13</w:t>
            </w:r>
          </w:p>
        </w:tc>
      </w:tr>
      <w:tr w:rsidR="00716314" w:rsidTr="00716314">
        <w:trPr>
          <w:trHeight w:val="288"/>
        </w:trPr>
        <w:tc>
          <w:tcPr>
            <w:tcW w:w="1831" w:type="dxa"/>
            <w:tcBorders>
              <w:top w:val="nil"/>
              <w:left w:val="single" w:sz="4" w:space="0" w:color="auto"/>
              <w:bottom w:val="single" w:sz="4" w:space="0" w:color="auto"/>
              <w:right w:val="single" w:sz="4" w:space="0" w:color="auto"/>
            </w:tcBorders>
            <w:noWrap/>
            <w:vAlign w:val="bottom"/>
            <w:hideMark/>
          </w:tcPr>
          <w:p w:rsidR="00716314" w:rsidRDefault="00716314">
            <w:pPr>
              <w:rPr>
                <w:b/>
                <w:color w:val="000000"/>
              </w:rPr>
            </w:pPr>
            <w:r>
              <w:rPr>
                <w:b/>
                <w:color w:val="000000"/>
              </w:rPr>
              <w:t>Toplam</w:t>
            </w:r>
          </w:p>
        </w:tc>
        <w:tc>
          <w:tcPr>
            <w:tcW w:w="1072" w:type="dxa"/>
            <w:tcBorders>
              <w:top w:val="nil"/>
              <w:left w:val="nil"/>
              <w:bottom w:val="single" w:sz="4" w:space="0" w:color="auto"/>
              <w:right w:val="single" w:sz="4" w:space="0" w:color="auto"/>
            </w:tcBorders>
            <w:noWrap/>
            <w:vAlign w:val="bottom"/>
            <w:hideMark/>
          </w:tcPr>
          <w:p w:rsidR="00716314" w:rsidRDefault="00716314">
            <w:pPr>
              <w:rPr>
                <w:b/>
                <w:color w:val="000000"/>
              </w:rPr>
            </w:pPr>
            <w:r>
              <w:rPr>
                <w:b/>
                <w:color w:val="000000"/>
              </w:rPr>
              <w:t> </w:t>
            </w:r>
          </w:p>
        </w:tc>
        <w:tc>
          <w:tcPr>
            <w:tcW w:w="2449" w:type="dxa"/>
            <w:tcBorders>
              <w:top w:val="nil"/>
              <w:left w:val="nil"/>
              <w:bottom w:val="single" w:sz="4" w:space="0" w:color="auto"/>
              <w:right w:val="single" w:sz="4" w:space="0" w:color="auto"/>
            </w:tcBorders>
            <w:noWrap/>
            <w:vAlign w:val="bottom"/>
            <w:hideMark/>
          </w:tcPr>
          <w:p w:rsidR="00716314" w:rsidRDefault="00716314">
            <w:pPr>
              <w:jc w:val="right"/>
              <w:rPr>
                <w:b/>
                <w:color w:val="000000"/>
              </w:rPr>
            </w:pPr>
            <w:r>
              <w:rPr>
                <w:b/>
                <w:color w:val="000000"/>
              </w:rPr>
              <w:t> </w:t>
            </w:r>
          </w:p>
        </w:tc>
        <w:tc>
          <w:tcPr>
            <w:tcW w:w="1989" w:type="dxa"/>
            <w:tcBorders>
              <w:top w:val="nil"/>
              <w:left w:val="nil"/>
              <w:bottom w:val="single" w:sz="4" w:space="0" w:color="auto"/>
              <w:right w:val="single" w:sz="4" w:space="0" w:color="auto"/>
            </w:tcBorders>
            <w:noWrap/>
            <w:vAlign w:val="bottom"/>
            <w:hideMark/>
          </w:tcPr>
          <w:p w:rsidR="00716314" w:rsidRDefault="00716314">
            <w:pPr>
              <w:rPr>
                <w:b/>
                <w:color w:val="000000"/>
              </w:rPr>
            </w:pPr>
          </w:p>
        </w:tc>
        <w:tc>
          <w:tcPr>
            <w:tcW w:w="1837" w:type="dxa"/>
            <w:tcBorders>
              <w:top w:val="nil"/>
              <w:left w:val="nil"/>
              <w:bottom w:val="single" w:sz="4" w:space="0" w:color="auto"/>
              <w:right w:val="single" w:sz="4" w:space="0" w:color="auto"/>
            </w:tcBorders>
            <w:noWrap/>
            <w:vAlign w:val="bottom"/>
            <w:hideMark/>
          </w:tcPr>
          <w:p w:rsidR="00716314" w:rsidRDefault="00716314">
            <w:pPr>
              <w:jc w:val="right"/>
              <w:rPr>
                <w:b/>
                <w:color w:val="000000"/>
              </w:rPr>
            </w:pPr>
            <w:r>
              <w:rPr>
                <w:b/>
                <w:color w:val="000000"/>
              </w:rPr>
              <w:t> 5.001,76 TL</w:t>
            </w:r>
          </w:p>
        </w:tc>
      </w:tr>
    </w:tbl>
    <w:p w:rsidR="00716314" w:rsidRDefault="00716314" w:rsidP="00716314">
      <w:pPr>
        <w:pStyle w:val="NormalWeb"/>
        <w:shd w:val="clear" w:color="auto" w:fill="FFFFFF"/>
        <w:spacing w:line="300" w:lineRule="atLeast"/>
        <w:jc w:val="both"/>
      </w:pPr>
      <w:r>
        <w:t>Bu durumda, 1.1.2018 tarihinden itibaren Gelir Vergisinden istisna edilecek kıdem tazminatı 5,001,75 TL ve brüt ücret üzerinden hesaplanması gereken kıdem tazminatından sadece damga vergisi kesintisi (binde 7,59 oranında) yapılması gerekmektedir.</w:t>
      </w:r>
    </w:p>
    <w:p w:rsidR="00716314" w:rsidRDefault="00716314" w:rsidP="00716314">
      <w:pPr>
        <w:pStyle w:val="NormalWeb"/>
        <w:shd w:val="clear" w:color="auto" w:fill="FFFFFF"/>
        <w:spacing w:line="300" w:lineRule="atLeast"/>
        <w:ind w:firstLine="708"/>
        <w:jc w:val="both"/>
        <w:rPr>
          <w:b/>
        </w:rPr>
      </w:pPr>
      <w:r>
        <w:rPr>
          <w:b/>
        </w:rPr>
        <w:t xml:space="preserve">B- ÇOCUK YARDIMI    </w:t>
      </w:r>
    </w:p>
    <w:p w:rsidR="00716314" w:rsidRDefault="00716314" w:rsidP="00716314">
      <w:pPr>
        <w:pStyle w:val="NormalWeb"/>
        <w:shd w:val="clear" w:color="auto" w:fill="FFFFFF"/>
        <w:spacing w:line="300" w:lineRule="atLeast"/>
        <w:ind w:firstLine="708"/>
        <w:jc w:val="both"/>
      </w:pPr>
      <w:r>
        <w:t xml:space="preserve">01.01.2018 tarihinden itibaren uygulanacak katsayı rakamlarına </w:t>
      </w:r>
      <w:proofErr w:type="gramStart"/>
      <w:r>
        <w:t>göre ,</w:t>
      </w:r>
      <w:proofErr w:type="gramEnd"/>
      <w:r>
        <w:t xml:space="preserve"> </w:t>
      </w:r>
      <w:r>
        <w:rPr>
          <w:b/>
        </w:rPr>
        <w:t>01.01.2018 / 30.06.2018</w:t>
      </w:r>
      <w:r>
        <w:t xml:space="preserve"> tarihleri arasında geçerli olan gelir vergisinden istisna çocuk zammı tutarları; örnek olarak aşağıdaki gibi hesaplanacaktır.</w:t>
      </w:r>
    </w:p>
    <w:tbl>
      <w:tblPr>
        <w:tblW w:w="9209" w:type="dxa"/>
        <w:tblCellMar>
          <w:left w:w="70" w:type="dxa"/>
          <w:right w:w="70" w:type="dxa"/>
        </w:tblCellMar>
        <w:tblLook w:val="04A0" w:firstRow="1" w:lastRow="0" w:firstColumn="1" w:lastColumn="0" w:noHBand="0" w:noVBand="1"/>
      </w:tblPr>
      <w:tblGrid>
        <w:gridCol w:w="5240"/>
        <w:gridCol w:w="3969"/>
      </w:tblGrid>
      <w:tr w:rsidR="00716314" w:rsidTr="00716314">
        <w:trPr>
          <w:trHeight w:val="287"/>
        </w:trPr>
        <w:tc>
          <w:tcPr>
            <w:tcW w:w="5240"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01.01.2018-30.06.2018                                                                                            </w:t>
            </w:r>
          </w:p>
        </w:tc>
        <w:tc>
          <w:tcPr>
            <w:tcW w:w="3969" w:type="dxa"/>
            <w:tcBorders>
              <w:top w:val="single" w:sz="4" w:space="0" w:color="auto"/>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 Tarihleri Arasında Tek Çocuk İçin TL</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0-6 yaş grubu                                                                                                                         </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 xml:space="preserve"> </w:t>
            </w:r>
            <w:proofErr w:type="gramStart"/>
            <w:r>
              <w:rPr>
                <w:color w:val="000000"/>
              </w:rPr>
              <w:t>( 500</w:t>
            </w:r>
            <w:proofErr w:type="gramEnd"/>
            <w:r>
              <w:rPr>
                <w:color w:val="000000"/>
              </w:rPr>
              <w:t xml:space="preserve"> x 0.108550 ) = 54.28</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6 yaş üstü                                                                                                                              </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 xml:space="preserve">  </w:t>
            </w:r>
            <w:proofErr w:type="gramStart"/>
            <w:r>
              <w:rPr>
                <w:color w:val="000000"/>
              </w:rPr>
              <w:t>( 250</w:t>
            </w:r>
            <w:proofErr w:type="gramEnd"/>
            <w:r>
              <w:rPr>
                <w:color w:val="000000"/>
              </w:rPr>
              <w:t xml:space="preserve"> x 0.108550 ) = 27.14</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Birden fazla çocuğu olanlar (Örnek) </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 </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 Çocuklardan iki veya daha fazlası 0-6 yaş grubunda olanlar  </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proofErr w:type="gramStart"/>
            <w:r>
              <w:rPr>
                <w:color w:val="000000"/>
              </w:rPr>
              <w:t>( 54.28</w:t>
            </w:r>
            <w:proofErr w:type="gramEnd"/>
            <w:r>
              <w:rPr>
                <w:color w:val="000000"/>
              </w:rPr>
              <w:t xml:space="preserve"> x 2 ) = 108.55</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Çocuklardan biri 0-6 yaş grubunda olanlar için </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proofErr w:type="gramStart"/>
            <w:r>
              <w:rPr>
                <w:color w:val="000000"/>
              </w:rPr>
              <w:t>( 54.28</w:t>
            </w:r>
            <w:proofErr w:type="gramEnd"/>
            <w:r>
              <w:rPr>
                <w:color w:val="000000"/>
              </w:rPr>
              <w:t xml:space="preserve"> + 27.1375 ) = 81.41</w:t>
            </w:r>
          </w:p>
        </w:tc>
      </w:tr>
      <w:tr w:rsidR="00716314" w:rsidTr="00716314">
        <w:trPr>
          <w:trHeight w:val="287"/>
        </w:trPr>
        <w:tc>
          <w:tcPr>
            <w:tcW w:w="5240"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Çocukların tümü 0-6 yaş grubunun üstünde olanlar</w:t>
            </w:r>
          </w:p>
        </w:tc>
        <w:tc>
          <w:tcPr>
            <w:tcW w:w="396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proofErr w:type="gramStart"/>
            <w:r>
              <w:rPr>
                <w:color w:val="000000"/>
              </w:rPr>
              <w:t>( 27.14</w:t>
            </w:r>
            <w:proofErr w:type="gramEnd"/>
            <w:r>
              <w:rPr>
                <w:color w:val="000000"/>
              </w:rPr>
              <w:t xml:space="preserve"> x 3 ) = 81.41</w:t>
            </w:r>
          </w:p>
        </w:tc>
      </w:tr>
    </w:tbl>
    <w:p w:rsidR="00716314" w:rsidRDefault="00716314" w:rsidP="00716314">
      <w:pPr>
        <w:pStyle w:val="NormalWeb"/>
        <w:shd w:val="clear" w:color="auto" w:fill="FFFFFF"/>
        <w:spacing w:line="300" w:lineRule="atLeast"/>
        <w:ind w:firstLine="708"/>
        <w:jc w:val="both"/>
        <w:rPr>
          <w:b/>
        </w:rPr>
      </w:pPr>
      <w:r>
        <w:rPr>
          <w:b/>
        </w:rPr>
        <w:t>C- AİLE YARDIMI</w:t>
      </w:r>
    </w:p>
    <w:p w:rsidR="00716314" w:rsidRDefault="00716314" w:rsidP="00716314">
      <w:pPr>
        <w:pStyle w:val="NormalWeb"/>
        <w:shd w:val="clear" w:color="auto" w:fill="FFFFFF"/>
        <w:spacing w:line="300" w:lineRule="atLeast"/>
        <w:ind w:firstLine="708"/>
        <w:jc w:val="both"/>
      </w:pPr>
      <w:r>
        <w:t xml:space="preserve">Kamu sektöründe çalışanlar için, çalışmayan eşler için aile yardımı, yeni katsayılara göre 2018 yılında aşağıdaki gibi olmuştur.     </w:t>
      </w:r>
    </w:p>
    <w:tbl>
      <w:tblPr>
        <w:tblW w:w="9228" w:type="dxa"/>
        <w:tblCellMar>
          <w:left w:w="70" w:type="dxa"/>
          <w:right w:w="70" w:type="dxa"/>
        </w:tblCellMar>
        <w:tblLook w:val="04A0" w:firstRow="1" w:lastRow="0" w:firstColumn="1" w:lastColumn="0" w:noHBand="0" w:noVBand="1"/>
      </w:tblPr>
      <w:tblGrid>
        <w:gridCol w:w="4106"/>
        <w:gridCol w:w="1740"/>
        <w:gridCol w:w="1708"/>
        <w:gridCol w:w="1674"/>
      </w:tblGrid>
      <w:tr w:rsidR="00716314" w:rsidTr="00716314">
        <w:trPr>
          <w:trHeight w:val="276"/>
        </w:trPr>
        <w:tc>
          <w:tcPr>
            <w:tcW w:w="4106"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Dönemi</w:t>
            </w:r>
          </w:p>
        </w:tc>
        <w:tc>
          <w:tcPr>
            <w:tcW w:w="1740"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bCs/>
                <w:color w:val="000000"/>
              </w:rPr>
            </w:pPr>
            <w:r>
              <w:rPr>
                <w:b/>
                <w:bCs/>
                <w:color w:val="000000"/>
              </w:rPr>
              <w:t>Gösterge</w:t>
            </w:r>
          </w:p>
        </w:tc>
        <w:tc>
          <w:tcPr>
            <w:tcW w:w="1708"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bCs/>
                <w:color w:val="000000"/>
              </w:rPr>
            </w:pPr>
            <w:r>
              <w:rPr>
                <w:b/>
                <w:bCs/>
                <w:color w:val="000000"/>
              </w:rPr>
              <w:t>Katsayı</w:t>
            </w:r>
          </w:p>
        </w:tc>
        <w:tc>
          <w:tcPr>
            <w:tcW w:w="1674"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bCs/>
                <w:color w:val="000000"/>
              </w:rPr>
            </w:pPr>
            <w:r>
              <w:rPr>
                <w:b/>
                <w:bCs/>
                <w:color w:val="000000"/>
              </w:rPr>
              <w:t>Tutar</w:t>
            </w:r>
          </w:p>
        </w:tc>
      </w:tr>
      <w:tr w:rsidR="00716314" w:rsidTr="00716314">
        <w:trPr>
          <w:trHeight w:val="276"/>
        </w:trPr>
        <w:tc>
          <w:tcPr>
            <w:tcW w:w="4106"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01.01.2018-30.06.2018</w:t>
            </w:r>
          </w:p>
        </w:tc>
        <w:tc>
          <w:tcPr>
            <w:tcW w:w="1740"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2134</w:t>
            </w:r>
          </w:p>
        </w:tc>
        <w:tc>
          <w:tcPr>
            <w:tcW w:w="1708"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0.108550</w:t>
            </w:r>
          </w:p>
        </w:tc>
        <w:tc>
          <w:tcPr>
            <w:tcW w:w="1674"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231.65</w:t>
            </w:r>
          </w:p>
        </w:tc>
      </w:tr>
      <w:tr w:rsidR="00716314" w:rsidTr="00716314">
        <w:trPr>
          <w:trHeight w:val="276"/>
        </w:trPr>
        <w:tc>
          <w:tcPr>
            <w:tcW w:w="4106"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01.07.2018-31.12.2018</w:t>
            </w:r>
          </w:p>
        </w:tc>
        <w:tc>
          <w:tcPr>
            <w:tcW w:w="1740"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2134</w:t>
            </w:r>
          </w:p>
        </w:tc>
        <w:tc>
          <w:tcPr>
            <w:tcW w:w="1708"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0.110554</w:t>
            </w:r>
          </w:p>
        </w:tc>
        <w:tc>
          <w:tcPr>
            <w:tcW w:w="1674"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235.92</w:t>
            </w:r>
          </w:p>
        </w:tc>
      </w:tr>
    </w:tbl>
    <w:p w:rsidR="00716314" w:rsidRDefault="00716314" w:rsidP="00716314">
      <w:pPr>
        <w:pStyle w:val="NormalWeb"/>
        <w:shd w:val="clear" w:color="auto" w:fill="FFFFFF"/>
        <w:spacing w:line="300" w:lineRule="atLeast"/>
        <w:ind w:firstLine="708"/>
        <w:jc w:val="both"/>
        <w:rPr>
          <w:b/>
        </w:rPr>
      </w:pPr>
    </w:p>
    <w:p w:rsidR="00716314" w:rsidRDefault="00716314" w:rsidP="00716314">
      <w:pPr>
        <w:pStyle w:val="NormalWeb"/>
        <w:shd w:val="clear" w:color="auto" w:fill="FFFFFF"/>
        <w:spacing w:line="300" w:lineRule="atLeast"/>
        <w:ind w:firstLine="708"/>
        <w:jc w:val="both"/>
        <w:rPr>
          <w:b/>
        </w:rPr>
      </w:pPr>
      <w:r>
        <w:rPr>
          <w:b/>
        </w:rPr>
        <w:t>D- PRİME ESAS KAZANÇLARDAN İSTİSNA TUTULACAK YEMEK PARASI, ÇOCUK ZAMMI VE AİLE ZAMMI (YARDIMI) TUTARLARI</w:t>
      </w:r>
    </w:p>
    <w:p w:rsidR="00716314" w:rsidRDefault="00716314" w:rsidP="00716314">
      <w:pPr>
        <w:pStyle w:val="NormalWeb"/>
        <w:shd w:val="clear" w:color="auto" w:fill="FFFFFF"/>
        <w:spacing w:line="300" w:lineRule="atLeast"/>
        <w:ind w:firstLine="708"/>
        <w:jc w:val="both"/>
      </w:pPr>
      <w:r>
        <w:t xml:space="preserve">Sigorta Primlerinin Hesabına Esas Tutulacak Kazançların Aylık Tutarının Tespitinde Nazara Alınmayacak Olan Yemek Parası ile Çocuk ve Aile Zamlarının Günlük ve Aylık Tutarları aşağıdaki gibi hesaplanmaktadır. </w:t>
      </w:r>
    </w:p>
    <w:p w:rsidR="00716314" w:rsidRPr="00716314" w:rsidRDefault="00716314" w:rsidP="00716314">
      <w:pPr>
        <w:pStyle w:val="NormalWeb"/>
        <w:shd w:val="clear" w:color="auto" w:fill="FFFFFF"/>
        <w:spacing w:line="300" w:lineRule="atLeast"/>
        <w:jc w:val="both"/>
      </w:pPr>
    </w:p>
    <w:p w:rsidR="00716314" w:rsidRDefault="00716314" w:rsidP="00716314">
      <w:pPr>
        <w:pStyle w:val="NormalWeb"/>
        <w:shd w:val="clear" w:color="auto" w:fill="FFFFFF"/>
        <w:spacing w:line="300" w:lineRule="atLeast"/>
        <w:ind w:firstLine="708"/>
        <w:jc w:val="both"/>
        <w:rPr>
          <w:b/>
        </w:rPr>
      </w:pPr>
      <w:r>
        <w:rPr>
          <w:b/>
        </w:rPr>
        <w:lastRenderedPageBreak/>
        <w:t xml:space="preserve">1- Yemek Parası  </w:t>
      </w:r>
    </w:p>
    <w:tbl>
      <w:tblPr>
        <w:tblpPr w:leftFromText="141" w:rightFromText="141" w:bottomFromText="160" w:vertAnchor="text" w:horzAnchor="margin" w:tblpY="1370"/>
        <w:tblW w:w="9103" w:type="dxa"/>
        <w:tblCellMar>
          <w:left w:w="70" w:type="dxa"/>
          <w:right w:w="70" w:type="dxa"/>
        </w:tblCellMar>
        <w:tblLook w:val="04A0" w:firstRow="1" w:lastRow="0" w:firstColumn="1" w:lastColumn="0" w:noHBand="0" w:noVBand="1"/>
      </w:tblPr>
      <w:tblGrid>
        <w:gridCol w:w="2263"/>
        <w:gridCol w:w="3544"/>
        <w:gridCol w:w="1843"/>
        <w:gridCol w:w="1453"/>
      </w:tblGrid>
      <w:tr w:rsidR="00716314" w:rsidTr="00716314">
        <w:trPr>
          <w:trHeight w:val="197"/>
        </w:trPr>
        <w:tc>
          <w:tcPr>
            <w:tcW w:w="9103" w:type="dxa"/>
            <w:gridSpan w:val="4"/>
            <w:tcBorders>
              <w:top w:val="single" w:sz="4" w:space="0" w:color="auto"/>
              <w:left w:val="single" w:sz="4" w:space="0" w:color="auto"/>
              <w:bottom w:val="single" w:sz="4" w:space="0" w:color="auto"/>
              <w:right w:val="single" w:sz="4" w:space="0" w:color="auto"/>
            </w:tcBorders>
            <w:noWrap/>
            <w:vAlign w:val="bottom"/>
            <w:hideMark/>
          </w:tcPr>
          <w:p w:rsidR="00716314" w:rsidRDefault="00716314">
            <w:pPr>
              <w:jc w:val="center"/>
              <w:rPr>
                <w:b/>
                <w:color w:val="000000"/>
              </w:rPr>
            </w:pPr>
            <w:r>
              <w:rPr>
                <w:b/>
                <w:color w:val="000000"/>
              </w:rPr>
              <w:t>YEMEK PARASI İSTİSNA TUTARI</w:t>
            </w:r>
          </w:p>
        </w:tc>
      </w:tr>
      <w:tr w:rsidR="00716314" w:rsidTr="00716314">
        <w:trPr>
          <w:trHeight w:val="197"/>
        </w:trPr>
        <w:tc>
          <w:tcPr>
            <w:tcW w:w="2263" w:type="dxa"/>
            <w:tcBorders>
              <w:top w:val="nil"/>
              <w:left w:val="single" w:sz="4" w:space="0" w:color="auto"/>
              <w:bottom w:val="single" w:sz="4" w:space="0" w:color="auto"/>
              <w:right w:val="single" w:sz="4" w:space="0" w:color="auto"/>
            </w:tcBorders>
            <w:noWrap/>
            <w:vAlign w:val="center"/>
            <w:hideMark/>
          </w:tcPr>
          <w:p w:rsidR="00716314" w:rsidRDefault="00716314">
            <w:pPr>
              <w:jc w:val="center"/>
              <w:rPr>
                <w:color w:val="000000"/>
              </w:rPr>
            </w:pPr>
            <w:r>
              <w:rPr>
                <w:color w:val="000000"/>
              </w:rPr>
              <w:t>Dönemi</w:t>
            </w:r>
          </w:p>
        </w:tc>
        <w:tc>
          <w:tcPr>
            <w:tcW w:w="3544"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16 Yaşından büyükler için uygulanan asgari ücretin günlük tutarı </w:t>
            </w:r>
          </w:p>
        </w:tc>
        <w:tc>
          <w:tcPr>
            <w:tcW w:w="1843"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İstisna Oranı </w:t>
            </w:r>
          </w:p>
        </w:tc>
        <w:tc>
          <w:tcPr>
            <w:tcW w:w="1453"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Günlük İstisna Tutarı (TL) </w:t>
            </w:r>
          </w:p>
        </w:tc>
      </w:tr>
      <w:tr w:rsidR="00716314" w:rsidTr="00716314">
        <w:trPr>
          <w:trHeight w:val="197"/>
        </w:trPr>
        <w:tc>
          <w:tcPr>
            <w:tcW w:w="226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01.01.2018-30.06.2018 tarihleri arasında</w:t>
            </w:r>
          </w:p>
        </w:tc>
        <w:tc>
          <w:tcPr>
            <w:tcW w:w="3544"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67.65</w:t>
            </w:r>
          </w:p>
        </w:tc>
        <w:tc>
          <w:tcPr>
            <w:tcW w:w="1843"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0.06</w:t>
            </w:r>
          </w:p>
        </w:tc>
        <w:tc>
          <w:tcPr>
            <w:tcW w:w="1453"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4.06</w:t>
            </w:r>
          </w:p>
        </w:tc>
      </w:tr>
      <w:tr w:rsidR="00716314" w:rsidTr="00716314">
        <w:trPr>
          <w:trHeight w:val="197"/>
        </w:trPr>
        <w:tc>
          <w:tcPr>
            <w:tcW w:w="2263"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01.07.2018-31.12.2018 tarihleri arasında</w:t>
            </w:r>
          </w:p>
        </w:tc>
        <w:tc>
          <w:tcPr>
            <w:tcW w:w="3544"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67.65</w:t>
            </w:r>
          </w:p>
        </w:tc>
        <w:tc>
          <w:tcPr>
            <w:tcW w:w="1843"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0.06</w:t>
            </w:r>
          </w:p>
        </w:tc>
        <w:tc>
          <w:tcPr>
            <w:tcW w:w="1453"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4.06</w:t>
            </w:r>
          </w:p>
        </w:tc>
      </w:tr>
    </w:tbl>
    <w:p w:rsidR="00716314" w:rsidRDefault="00716314" w:rsidP="00716314">
      <w:pPr>
        <w:pStyle w:val="NormalWeb"/>
        <w:shd w:val="clear" w:color="auto" w:fill="FFFFFF"/>
        <w:spacing w:line="300" w:lineRule="atLeast"/>
        <w:jc w:val="both"/>
      </w:pPr>
      <w:r>
        <w:t xml:space="preserve">Yemek parası olarak yapılan ödemelerin, işyerinde veya müştemilatında yemek verilmemesi şartıyla fiilen çalışılan gün sayısı dikkate alınarak 16 yaşından büyükler için her yıl belirlenen günlük asgari ücretin %6’sının yemek parası verilecek gün sayısı ile çarpılması sonucunda bulunmaktadır.  </w:t>
      </w:r>
    </w:p>
    <w:p w:rsidR="00716314" w:rsidRDefault="00716314" w:rsidP="00716314">
      <w:pPr>
        <w:pStyle w:val="NormalWeb"/>
        <w:shd w:val="clear" w:color="auto" w:fill="FFFFFF"/>
        <w:spacing w:line="300" w:lineRule="atLeast"/>
        <w:jc w:val="both"/>
      </w:pPr>
    </w:p>
    <w:p w:rsidR="00716314" w:rsidRDefault="00716314" w:rsidP="00716314">
      <w:pPr>
        <w:pStyle w:val="NormalWeb"/>
        <w:shd w:val="clear" w:color="auto" w:fill="FFFFFF"/>
        <w:spacing w:line="300" w:lineRule="atLeast"/>
        <w:jc w:val="both"/>
      </w:pPr>
      <w:r>
        <w:t xml:space="preserve">Diğer taraftan Gelir Vergisi Kanunu’nun 23’üncü maddesinin 8’inci bendi hükmüne göre hizmet erbabına işverenlerce yemek verilmek suretiyle sağlanan menfaatler ücret olarak vergilendirilmemektedir. Buna karşılık işverenlerce, işyerinde veya müştemilatında yemek verilmeyen durumlarda çalışılan günlere ait bir günlük yemek </w:t>
      </w:r>
      <w:proofErr w:type="gramStart"/>
      <w:r>
        <w:t>bedelinin  30285</w:t>
      </w:r>
      <w:proofErr w:type="gramEnd"/>
      <w:r>
        <w:t xml:space="preserve"> sayılı Mükerrer Resmi </w:t>
      </w:r>
      <w:proofErr w:type="spellStart"/>
      <w:r>
        <w:t>Gazete’de</w:t>
      </w:r>
      <w:proofErr w:type="spellEnd"/>
      <w:r>
        <w:t xml:space="preserve"> yayımlanan 302 Seri </w:t>
      </w:r>
      <w:proofErr w:type="spellStart"/>
      <w:r>
        <w:t>No’lu</w:t>
      </w:r>
      <w:proofErr w:type="spellEnd"/>
      <w:r>
        <w:t xml:space="preserve"> Gelir Vergisi Genel Tebliğine göre </w:t>
      </w:r>
      <w:r>
        <w:rPr>
          <w:b/>
        </w:rPr>
        <w:t>2018 yılında 16,00 TL’</w:t>
      </w:r>
      <w:r>
        <w:t>yi aşmaması ve buna ilişkin ödemenin yemek verme hizmetini sağlayan mükelleflere yapılması şarttır. Ödemenin bu tutarı aşması halinde, aşan kısım ile hizmet erbabına yemek bedeli olarak nakden yapılan ödemeler ve bu amaçla sağlanan menfaatler ücret olarak vergilendirilmektedir.</w:t>
      </w:r>
    </w:p>
    <w:p w:rsidR="00716314" w:rsidRDefault="00716314" w:rsidP="00716314">
      <w:pPr>
        <w:pStyle w:val="NormalWeb"/>
        <w:shd w:val="clear" w:color="auto" w:fill="FFFFFF"/>
        <w:spacing w:line="300" w:lineRule="atLeast"/>
        <w:ind w:firstLine="708"/>
        <w:jc w:val="both"/>
        <w:rPr>
          <w:b/>
        </w:rPr>
      </w:pPr>
      <w:r>
        <w:rPr>
          <w:b/>
        </w:rPr>
        <w:t>2- ÇOCUK ZAMMI</w:t>
      </w:r>
    </w:p>
    <w:p w:rsidR="00716314" w:rsidRDefault="00716314" w:rsidP="00716314">
      <w:pPr>
        <w:ind w:firstLine="708"/>
        <w:jc w:val="both"/>
      </w:pPr>
      <w:r>
        <w:t>Sigorta primlerinin hesabına esas tutulacak kazançların aylık tutarının tespitinde nazara alınmayacak çocuk zammı tutarı 2017 yılı için aşağıdaki gibi hesaplanmaktadır.</w:t>
      </w:r>
    </w:p>
    <w:tbl>
      <w:tblPr>
        <w:tblpPr w:leftFromText="141" w:rightFromText="141" w:bottomFromText="160" w:vertAnchor="text" w:horzAnchor="margin" w:tblpXSpec="center" w:tblpY="431"/>
        <w:tblW w:w="9231" w:type="dxa"/>
        <w:tblCellMar>
          <w:left w:w="70" w:type="dxa"/>
          <w:right w:w="70" w:type="dxa"/>
        </w:tblCellMar>
        <w:tblLook w:val="04A0" w:firstRow="1" w:lastRow="0" w:firstColumn="1" w:lastColumn="0" w:noHBand="0" w:noVBand="1"/>
      </w:tblPr>
      <w:tblGrid>
        <w:gridCol w:w="2405"/>
        <w:gridCol w:w="3260"/>
        <w:gridCol w:w="1886"/>
        <w:gridCol w:w="1680"/>
      </w:tblGrid>
      <w:tr w:rsidR="00716314" w:rsidTr="00716314">
        <w:trPr>
          <w:trHeight w:val="243"/>
        </w:trPr>
        <w:tc>
          <w:tcPr>
            <w:tcW w:w="9231" w:type="dxa"/>
            <w:gridSpan w:val="4"/>
            <w:tcBorders>
              <w:top w:val="single" w:sz="4" w:space="0" w:color="auto"/>
              <w:left w:val="single" w:sz="4" w:space="0" w:color="auto"/>
              <w:bottom w:val="single" w:sz="4" w:space="0" w:color="auto"/>
              <w:right w:val="single" w:sz="4" w:space="0" w:color="auto"/>
            </w:tcBorders>
            <w:noWrap/>
            <w:vAlign w:val="bottom"/>
            <w:hideMark/>
          </w:tcPr>
          <w:p w:rsidR="00716314" w:rsidRDefault="00716314">
            <w:pPr>
              <w:jc w:val="center"/>
              <w:rPr>
                <w:b/>
                <w:color w:val="000000"/>
              </w:rPr>
            </w:pPr>
            <w:r>
              <w:rPr>
                <w:b/>
                <w:color w:val="000000"/>
              </w:rPr>
              <w:t>ÇOCUK ZAMMI İSTİSNA TUTARI</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center"/>
            <w:hideMark/>
          </w:tcPr>
          <w:p w:rsidR="00716314" w:rsidRDefault="00716314">
            <w:pPr>
              <w:rPr>
                <w:color w:val="000000"/>
              </w:rPr>
            </w:pPr>
            <w:r>
              <w:rPr>
                <w:color w:val="000000"/>
              </w:rPr>
              <w:t>Dönemi</w:t>
            </w:r>
          </w:p>
        </w:tc>
        <w:tc>
          <w:tcPr>
            <w:tcW w:w="326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16 Yaşından büyükler için uygulanan asgari ücret tutarı </w:t>
            </w:r>
          </w:p>
        </w:tc>
        <w:tc>
          <w:tcPr>
            <w:tcW w:w="1886" w:type="dxa"/>
            <w:tcBorders>
              <w:top w:val="nil"/>
              <w:left w:val="nil"/>
              <w:bottom w:val="single" w:sz="4" w:space="0" w:color="auto"/>
              <w:right w:val="single" w:sz="4" w:space="0" w:color="auto"/>
            </w:tcBorders>
            <w:noWrap/>
            <w:vAlign w:val="center"/>
            <w:hideMark/>
          </w:tcPr>
          <w:p w:rsidR="00716314" w:rsidRDefault="00716314">
            <w:pPr>
              <w:rPr>
                <w:color w:val="000000"/>
              </w:rPr>
            </w:pPr>
            <w:r>
              <w:rPr>
                <w:color w:val="000000"/>
              </w:rPr>
              <w:t xml:space="preserve">İstisna Oranı </w:t>
            </w:r>
          </w:p>
        </w:tc>
        <w:tc>
          <w:tcPr>
            <w:tcW w:w="168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Aylık İstisna Tutarı (TL) </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01.01.2018-30.06.2018 tarihleri arasında</w:t>
            </w:r>
          </w:p>
        </w:tc>
        <w:tc>
          <w:tcPr>
            <w:tcW w:w="326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2,029.50</w:t>
            </w:r>
          </w:p>
        </w:tc>
        <w:tc>
          <w:tcPr>
            <w:tcW w:w="1886"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0.02</w:t>
            </w:r>
          </w:p>
        </w:tc>
        <w:tc>
          <w:tcPr>
            <w:tcW w:w="168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40.59</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01.07.2018-31.12.2018 tarihleri arasında</w:t>
            </w:r>
          </w:p>
        </w:tc>
        <w:tc>
          <w:tcPr>
            <w:tcW w:w="326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2,029.50</w:t>
            </w:r>
          </w:p>
        </w:tc>
        <w:tc>
          <w:tcPr>
            <w:tcW w:w="1886"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0.02</w:t>
            </w:r>
          </w:p>
        </w:tc>
        <w:tc>
          <w:tcPr>
            <w:tcW w:w="168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40.59</w:t>
            </w:r>
          </w:p>
        </w:tc>
      </w:tr>
    </w:tbl>
    <w:p w:rsidR="00716314" w:rsidRDefault="00716314" w:rsidP="00716314">
      <w:pPr>
        <w:jc w:val="both"/>
        <w:rPr>
          <w:rFonts w:eastAsiaTheme="minorHAnsi"/>
        </w:rPr>
      </w:pPr>
    </w:p>
    <w:p w:rsidR="00716314" w:rsidRDefault="00716314" w:rsidP="00716314"/>
    <w:tbl>
      <w:tblPr>
        <w:tblpPr w:leftFromText="141" w:rightFromText="141" w:bottomFromText="160" w:vertAnchor="text" w:horzAnchor="margin" w:tblpXSpec="center" w:tblpY="431"/>
        <w:tblW w:w="9231" w:type="dxa"/>
        <w:tblCellMar>
          <w:left w:w="70" w:type="dxa"/>
          <w:right w:w="70" w:type="dxa"/>
        </w:tblCellMar>
        <w:tblLook w:val="04A0" w:firstRow="1" w:lastRow="0" w:firstColumn="1" w:lastColumn="0" w:noHBand="0" w:noVBand="1"/>
      </w:tblPr>
      <w:tblGrid>
        <w:gridCol w:w="2405"/>
        <w:gridCol w:w="3260"/>
        <w:gridCol w:w="1886"/>
        <w:gridCol w:w="1680"/>
      </w:tblGrid>
      <w:tr w:rsidR="00716314" w:rsidTr="00716314">
        <w:trPr>
          <w:trHeight w:val="243"/>
        </w:trPr>
        <w:tc>
          <w:tcPr>
            <w:tcW w:w="9231" w:type="dxa"/>
            <w:gridSpan w:val="4"/>
            <w:tcBorders>
              <w:top w:val="single" w:sz="4" w:space="0" w:color="auto"/>
              <w:left w:val="single" w:sz="4" w:space="0" w:color="auto"/>
              <w:bottom w:val="single" w:sz="4" w:space="0" w:color="auto"/>
              <w:right w:val="single" w:sz="4" w:space="0" w:color="auto"/>
            </w:tcBorders>
            <w:noWrap/>
            <w:vAlign w:val="bottom"/>
            <w:hideMark/>
          </w:tcPr>
          <w:p w:rsidR="00716314" w:rsidRDefault="00716314">
            <w:pPr>
              <w:jc w:val="center"/>
              <w:rPr>
                <w:b/>
                <w:color w:val="000000"/>
              </w:rPr>
            </w:pPr>
            <w:r>
              <w:rPr>
                <w:b/>
                <w:color w:val="000000"/>
              </w:rPr>
              <w:t>AİLE ZAMMI İSTİSNA TUTARI</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center"/>
            <w:hideMark/>
          </w:tcPr>
          <w:p w:rsidR="00716314" w:rsidRDefault="00716314">
            <w:pPr>
              <w:rPr>
                <w:color w:val="000000"/>
              </w:rPr>
            </w:pPr>
            <w:r>
              <w:rPr>
                <w:color w:val="000000"/>
              </w:rPr>
              <w:t>Dönemi</w:t>
            </w:r>
          </w:p>
        </w:tc>
        <w:tc>
          <w:tcPr>
            <w:tcW w:w="326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16 Yaşından büyükler için uygulanan asgari ücret tutarı </w:t>
            </w:r>
          </w:p>
        </w:tc>
        <w:tc>
          <w:tcPr>
            <w:tcW w:w="1886" w:type="dxa"/>
            <w:tcBorders>
              <w:top w:val="nil"/>
              <w:left w:val="nil"/>
              <w:bottom w:val="single" w:sz="4" w:space="0" w:color="auto"/>
              <w:right w:val="single" w:sz="4" w:space="0" w:color="auto"/>
            </w:tcBorders>
            <w:noWrap/>
            <w:vAlign w:val="center"/>
            <w:hideMark/>
          </w:tcPr>
          <w:p w:rsidR="00716314" w:rsidRDefault="00716314">
            <w:pPr>
              <w:rPr>
                <w:color w:val="000000"/>
              </w:rPr>
            </w:pPr>
            <w:r>
              <w:rPr>
                <w:color w:val="000000"/>
              </w:rPr>
              <w:t xml:space="preserve">İstisna Oranı </w:t>
            </w:r>
          </w:p>
        </w:tc>
        <w:tc>
          <w:tcPr>
            <w:tcW w:w="1680" w:type="dxa"/>
            <w:tcBorders>
              <w:top w:val="nil"/>
              <w:left w:val="nil"/>
              <w:bottom w:val="single" w:sz="4" w:space="0" w:color="auto"/>
              <w:right w:val="single" w:sz="4" w:space="0" w:color="auto"/>
            </w:tcBorders>
            <w:noWrap/>
            <w:vAlign w:val="bottom"/>
            <w:hideMark/>
          </w:tcPr>
          <w:p w:rsidR="00716314" w:rsidRDefault="00716314">
            <w:pPr>
              <w:rPr>
                <w:color w:val="000000"/>
              </w:rPr>
            </w:pPr>
            <w:r>
              <w:rPr>
                <w:color w:val="000000"/>
              </w:rPr>
              <w:t xml:space="preserve">Aylık İstisna Tutarı (TL) </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01.01.2018-30.06.2018 tarihleri arasında</w:t>
            </w:r>
          </w:p>
        </w:tc>
        <w:tc>
          <w:tcPr>
            <w:tcW w:w="326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2,029.50</w:t>
            </w:r>
          </w:p>
        </w:tc>
        <w:tc>
          <w:tcPr>
            <w:tcW w:w="1886"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0.1</w:t>
            </w:r>
          </w:p>
        </w:tc>
        <w:tc>
          <w:tcPr>
            <w:tcW w:w="168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w:t>
            </w:r>
          </w:p>
        </w:tc>
      </w:tr>
      <w:tr w:rsidR="00716314" w:rsidTr="00716314">
        <w:trPr>
          <w:trHeight w:val="243"/>
        </w:trPr>
        <w:tc>
          <w:tcPr>
            <w:tcW w:w="2405"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01.07.2018-31.12.2018 tarihleri arasında</w:t>
            </w:r>
          </w:p>
        </w:tc>
        <w:tc>
          <w:tcPr>
            <w:tcW w:w="326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2,029.50</w:t>
            </w:r>
          </w:p>
        </w:tc>
        <w:tc>
          <w:tcPr>
            <w:tcW w:w="1886"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0.1</w:t>
            </w:r>
          </w:p>
        </w:tc>
        <w:tc>
          <w:tcPr>
            <w:tcW w:w="1680" w:type="dxa"/>
            <w:tcBorders>
              <w:top w:val="nil"/>
              <w:left w:val="nil"/>
              <w:bottom w:val="single" w:sz="4" w:space="0" w:color="auto"/>
              <w:right w:val="single" w:sz="4" w:space="0" w:color="auto"/>
            </w:tcBorders>
            <w:noWrap/>
            <w:vAlign w:val="center"/>
            <w:hideMark/>
          </w:tcPr>
          <w:p w:rsidR="00716314" w:rsidRDefault="00716314">
            <w:pPr>
              <w:jc w:val="center"/>
              <w:rPr>
                <w:color w:val="000000"/>
              </w:rPr>
            </w:pPr>
            <w:r>
              <w:rPr>
                <w:color w:val="000000"/>
              </w:rPr>
              <w:t>202.95</w:t>
            </w:r>
          </w:p>
        </w:tc>
      </w:tr>
    </w:tbl>
    <w:p w:rsidR="00716314" w:rsidRDefault="00716314" w:rsidP="00716314">
      <w:pPr>
        <w:rPr>
          <w:rFonts w:eastAsiaTheme="minorHAnsi"/>
        </w:rPr>
      </w:pPr>
    </w:p>
    <w:p w:rsidR="00716314" w:rsidRDefault="00716314" w:rsidP="00716314">
      <w:pPr>
        <w:rPr>
          <w:rFonts w:eastAsiaTheme="minorHAnsi"/>
        </w:rPr>
      </w:pPr>
    </w:p>
    <w:p w:rsidR="00716314" w:rsidRDefault="00716314" w:rsidP="00716314">
      <w:pPr>
        <w:ind w:firstLine="709"/>
        <w:rPr>
          <w:b/>
        </w:rPr>
      </w:pPr>
      <w:r>
        <w:rPr>
          <w:b/>
        </w:rPr>
        <w:t>E- DOĞUM YARDIMI</w:t>
      </w:r>
    </w:p>
    <w:p w:rsidR="00716314" w:rsidRDefault="00716314" w:rsidP="00716314">
      <w:pPr>
        <w:tabs>
          <w:tab w:val="left" w:pos="3727"/>
        </w:tabs>
        <w:ind w:firstLine="709"/>
      </w:pPr>
      <w:r>
        <w:t>2018 yılında doğum yardımı tutarları aşağıdaki gibi olmaktadır.</w:t>
      </w:r>
    </w:p>
    <w:tbl>
      <w:tblPr>
        <w:tblW w:w="6909" w:type="dxa"/>
        <w:tblCellMar>
          <w:left w:w="70" w:type="dxa"/>
          <w:right w:w="70" w:type="dxa"/>
        </w:tblCellMar>
        <w:tblLook w:val="04A0" w:firstRow="1" w:lastRow="0" w:firstColumn="1" w:lastColumn="0" w:noHBand="0" w:noVBand="1"/>
      </w:tblPr>
      <w:tblGrid>
        <w:gridCol w:w="2841"/>
        <w:gridCol w:w="4068"/>
      </w:tblGrid>
      <w:tr w:rsidR="00716314" w:rsidTr="00716314">
        <w:trPr>
          <w:trHeight w:val="354"/>
        </w:trPr>
        <w:tc>
          <w:tcPr>
            <w:tcW w:w="2841"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b/>
                <w:color w:val="000000"/>
              </w:rPr>
            </w:pPr>
            <w:r>
              <w:rPr>
                <w:b/>
                <w:color w:val="000000"/>
              </w:rPr>
              <w:t xml:space="preserve">Çocuk sayısı </w:t>
            </w:r>
          </w:p>
        </w:tc>
        <w:tc>
          <w:tcPr>
            <w:tcW w:w="4068" w:type="dxa"/>
            <w:tcBorders>
              <w:top w:val="single" w:sz="4" w:space="0" w:color="auto"/>
              <w:left w:val="nil"/>
              <w:bottom w:val="single" w:sz="4" w:space="0" w:color="auto"/>
              <w:right w:val="single" w:sz="4" w:space="0" w:color="auto"/>
            </w:tcBorders>
            <w:noWrap/>
            <w:vAlign w:val="bottom"/>
            <w:hideMark/>
          </w:tcPr>
          <w:p w:rsidR="00716314" w:rsidRDefault="00716314">
            <w:pPr>
              <w:jc w:val="center"/>
              <w:rPr>
                <w:b/>
                <w:color w:val="000000"/>
              </w:rPr>
            </w:pPr>
            <w:r>
              <w:rPr>
                <w:b/>
                <w:color w:val="000000"/>
              </w:rPr>
              <w:t>Doğum Yardımı Tutarı</w:t>
            </w:r>
          </w:p>
        </w:tc>
      </w:tr>
      <w:tr w:rsidR="00716314" w:rsidTr="00716314">
        <w:trPr>
          <w:trHeight w:val="354"/>
        </w:trPr>
        <w:tc>
          <w:tcPr>
            <w:tcW w:w="284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1.Çocuk ise </w:t>
            </w:r>
          </w:p>
        </w:tc>
        <w:tc>
          <w:tcPr>
            <w:tcW w:w="40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 xml:space="preserve">300 TL </w:t>
            </w:r>
          </w:p>
        </w:tc>
      </w:tr>
      <w:tr w:rsidR="00716314" w:rsidTr="00716314">
        <w:trPr>
          <w:trHeight w:val="354"/>
        </w:trPr>
        <w:tc>
          <w:tcPr>
            <w:tcW w:w="284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2.Çocuk ise </w:t>
            </w:r>
          </w:p>
        </w:tc>
        <w:tc>
          <w:tcPr>
            <w:tcW w:w="40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 xml:space="preserve">400 TL </w:t>
            </w:r>
          </w:p>
        </w:tc>
      </w:tr>
      <w:tr w:rsidR="00716314" w:rsidTr="00716314">
        <w:trPr>
          <w:trHeight w:val="354"/>
        </w:trPr>
        <w:tc>
          <w:tcPr>
            <w:tcW w:w="2841"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3.Çocuk ise </w:t>
            </w:r>
          </w:p>
        </w:tc>
        <w:tc>
          <w:tcPr>
            <w:tcW w:w="4068" w:type="dxa"/>
            <w:tcBorders>
              <w:top w:val="nil"/>
              <w:left w:val="nil"/>
              <w:bottom w:val="single" w:sz="4" w:space="0" w:color="auto"/>
              <w:right w:val="single" w:sz="4" w:space="0" w:color="auto"/>
            </w:tcBorders>
            <w:noWrap/>
            <w:vAlign w:val="bottom"/>
            <w:hideMark/>
          </w:tcPr>
          <w:p w:rsidR="00716314" w:rsidRDefault="00716314">
            <w:pPr>
              <w:jc w:val="center"/>
              <w:rPr>
                <w:color w:val="000000"/>
              </w:rPr>
            </w:pPr>
            <w:r>
              <w:rPr>
                <w:color w:val="000000"/>
              </w:rPr>
              <w:t xml:space="preserve">600 TL </w:t>
            </w:r>
          </w:p>
        </w:tc>
      </w:tr>
    </w:tbl>
    <w:p w:rsidR="00716314" w:rsidRDefault="00716314" w:rsidP="00716314">
      <w:pPr>
        <w:tabs>
          <w:tab w:val="left" w:pos="3727"/>
        </w:tabs>
        <w:rPr>
          <w:rFonts w:eastAsiaTheme="minorHAnsi"/>
        </w:rPr>
      </w:pPr>
    </w:p>
    <w:p w:rsidR="00716314" w:rsidRDefault="00716314" w:rsidP="00716314">
      <w:pPr>
        <w:ind w:firstLine="708"/>
        <w:rPr>
          <w:b/>
        </w:rPr>
      </w:pPr>
      <w:r>
        <w:rPr>
          <w:b/>
        </w:rPr>
        <w:t xml:space="preserve">F- EMZİRME YARDIMI   </w:t>
      </w:r>
    </w:p>
    <w:p w:rsidR="00716314" w:rsidRDefault="00716314" w:rsidP="00716314">
      <w:pPr>
        <w:ind w:firstLine="708"/>
      </w:pPr>
      <w:r>
        <w:t xml:space="preserve">Doğum tarihinden önceki son 1 yıl içerisinde en az 120 </w:t>
      </w:r>
      <w:proofErr w:type="gramStart"/>
      <w:r>
        <w:t>gün  4</w:t>
      </w:r>
      <w:proofErr w:type="gramEnd"/>
      <w:r>
        <w:t xml:space="preserve">/a (SSK)  ya da 4/b  BAĞKUR primi ödenmiş olması  gerekir. 4/b kapsamında sigortalılar içi son ödeme vadesi geçmiş prim borcunun da olmaması gerekir.  </w:t>
      </w:r>
    </w:p>
    <w:p w:rsidR="00716314" w:rsidRDefault="00716314" w:rsidP="00716314">
      <w:pPr>
        <w:ind w:firstLine="708"/>
      </w:pPr>
      <w:r>
        <w:t xml:space="preserve">1 Ocak 2018 tarihinden itibaren </w:t>
      </w:r>
      <w:r>
        <w:rPr>
          <w:b/>
        </w:rPr>
        <w:t>149 TL</w:t>
      </w:r>
      <w:r>
        <w:t xml:space="preserve">’dir.  </w:t>
      </w:r>
    </w:p>
    <w:p w:rsidR="00716314" w:rsidRDefault="00716314" w:rsidP="00716314">
      <w:pPr>
        <w:ind w:firstLine="708"/>
      </w:pPr>
    </w:p>
    <w:p w:rsidR="00716314" w:rsidRDefault="00716314" w:rsidP="00716314">
      <w:pPr>
        <w:ind w:firstLine="708"/>
        <w:rPr>
          <w:b/>
        </w:rPr>
      </w:pPr>
      <w:r>
        <w:rPr>
          <w:b/>
        </w:rPr>
        <w:t xml:space="preserve">G- ENGELLİLİK İNDİRİMİ   </w:t>
      </w:r>
    </w:p>
    <w:p w:rsidR="00716314" w:rsidRDefault="00716314" w:rsidP="00716314">
      <w:pPr>
        <w:ind w:firstLine="708"/>
      </w:pPr>
      <w:r>
        <w:t xml:space="preserve">Gelir Vergisi Kanunu’nun 31’inci maddesinde çalışma gücünün asgarî %80'ini kaybetmiş bulunan hizmet erbabı birinci derece engelli, asgarî %60'ını kaybetmiş bulunan hizmet erbabı ikinci derece engelli, asgarî %40'ını kaybetmiş bulunan hizmet erbabı ise üçüncü derece engelli sayılacağı belirtilmiştir.   2018   yılında 302 Seri </w:t>
      </w:r>
      <w:proofErr w:type="spellStart"/>
      <w:r>
        <w:t>No’lu</w:t>
      </w:r>
      <w:proofErr w:type="spellEnd"/>
      <w:r>
        <w:t xml:space="preserve"> Gelir Vergisi Genel Tebliğine göre aşağıda engelli dereceleri itibariyle belirlenen aylık tutarlar, hizmet erbabının ücret matrahından indirilmektedir.  </w:t>
      </w:r>
    </w:p>
    <w:tbl>
      <w:tblPr>
        <w:tblW w:w="7978" w:type="dxa"/>
        <w:tblCellMar>
          <w:left w:w="70" w:type="dxa"/>
          <w:right w:w="70" w:type="dxa"/>
        </w:tblCellMar>
        <w:tblLook w:val="04A0" w:firstRow="1" w:lastRow="0" w:firstColumn="1" w:lastColumn="0" w:noHBand="0" w:noVBand="1"/>
      </w:tblPr>
      <w:tblGrid>
        <w:gridCol w:w="4429"/>
        <w:gridCol w:w="3549"/>
      </w:tblGrid>
      <w:tr w:rsidR="00716314" w:rsidTr="00716314">
        <w:trPr>
          <w:trHeight w:val="330"/>
        </w:trPr>
        <w:tc>
          <w:tcPr>
            <w:tcW w:w="4429" w:type="dxa"/>
            <w:tcBorders>
              <w:top w:val="single" w:sz="4" w:space="0" w:color="auto"/>
              <w:left w:val="single" w:sz="4" w:space="0" w:color="auto"/>
              <w:bottom w:val="single" w:sz="4" w:space="0" w:color="auto"/>
              <w:right w:val="single" w:sz="4" w:space="0" w:color="auto"/>
            </w:tcBorders>
            <w:noWrap/>
            <w:vAlign w:val="bottom"/>
            <w:hideMark/>
          </w:tcPr>
          <w:p w:rsidR="00716314" w:rsidRDefault="00716314">
            <w:pPr>
              <w:rPr>
                <w:b/>
                <w:bCs/>
                <w:color w:val="000000"/>
              </w:rPr>
            </w:pPr>
            <w:r>
              <w:rPr>
                <w:b/>
                <w:bCs/>
                <w:color w:val="000000"/>
              </w:rPr>
              <w:t xml:space="preserve">Engellilik derecesi </w:t>
            </w:r>
          </w:p>
        </w:tc>
        <w:tc>
          <w:tcPr>
            <w:tcW w:w="3549" w:type="dxa"/>
            <w:tcBorders>
              <w:top w:val="single" w:sz="4" w:space="0" w:color="auto"/>
              <w:left w:val="nil"/>
              <w:bottom w:val="single" w:sz="4" w:space="0" w:color="auto"/>
              <w:right w:val="single" w:sz="4" w:space="0" w:color="auto"/>
            </w:tcBorders>
            <w:noWrap/>
            <w:vAlign w:val="bottom"/>
            <w:hideMark/>
          </w:tcPr>
          <w:p w:rsidR="00716314" w:rsidRDefault="00716314">
            <w:pPr>
              <w:rPr>
                <w:b/>
                <w:bCs/>
                <w:color w:val="000000"/>
              </w:rPr>
            </w:pPr>
            <w:r>
              <w:rPr>
                <w:b/>
                <w:bCs/>
                <w:color w:val="000000"/>
              </w:rPr>
              <w:t xml:space="preserve">İndirim </w:t>
            </w:r>
            <w:proofErr w:type="gramStart"/>
            <w:r>
              <w:rPr>
                <w:b/>
                <w:bCs/>
                <w:color w:val="000000"/>
              </w:rPr>
              <w:t>Tutarı  (</w:t>
            </w:r>
            <w:proofErr w:type="gramEnd"/>
            <w:r>
              <w:rPr>
                <w:b/>
                <w:bCs/>
                <w:color w:val="000000"/>
              </w:rPr>
              <w:t>2018)</w:t>
            </w:r>
          </w:p>
        </w:tc>
      </w:tr>
      <w:tr w:rsidR="00716314" w:rsidTr="00716314">
        <w:trPr>
          <w:trHeight w:val="330"/>
        </w:trPr>
        <w:tc>
          <w:tcPr>
            <w:tcW w:w="4429"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Birinci derece engelliler için </w:t>
            </w:r>
          </w:p>
        </w:tc>
        <w:tc>
          <w:tcPr>
            <w:tcW w:w="35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1.000</w:t>
            </w:r>
          </w:p>
        </w:tc>
      </w:tr>
      <w:tr w:rsidR="00716314" w:rsidTr="00716314">
        <w:trPr>
          <w:trHeight w:val="330"/>
        </w:trPr>
        <w:tc>
          <w:tcPr>
            <w:tcW w:w="4429"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İkinci derece engelliler için </w:t>
            </w:r>
          </w:p>
        </w:tc>
        <w:tc>
          <w:tcPr>
            <w:tcW w:w="35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530</w:t>
            </w:r>
          </w:p>
        </w:tc>
      </w:tr>
      <w:tr w:rsidR="00716314" w:rsidTr="00716314">
        <w:trPr>
          <w:trHeight w:val="330"/>
        </w:trPr>
        <w:tc>
          <w:tcPr>
            <w:tcW w:w="4429" w:type="dxa"/>
            <w:tcBorders>
              <w:top w:val="nil"/>
              <w:left w:val="single" w:sz="4" w:space="0" w:color="auto"/>
              <w:bottom w:val="single" w:sz="4" w:space="0" w:color="auto"/>
              <w:right w:val="single" w:sz="4" w:space="0" w:color="auto"/>
            </w:tcBorders>
            <w:noWrap/>
            <w:vAlign w:val="bottom"/>
            <w:hideMark/>
          </w:tcPr>
          <w:p w:rsidR="00716314" w:rsidRDefault="00716314">
            <w:pPr>
              <w:rPr>
                <w:color w:val="000000"/>
              </w:rPr>
            </w:pPr>
            <w:r>
              <w:rPr>
                <w:color w:val="000000"/>
              </w:rPr>
              <w:t xml:space="preserve">Üçüncü derece engelliler için </w:t>
            </w:r>
          </w:p>
        </w:tc>
        <w:tc>
          <w:tcPr>
            <w:tcW w:w="3549" w:type="dxa"/>
            <w:tcBorders>
              <w:top w:val="nil"/>
              <w:left w:val="nil"/>
              <w:bottom w:val="single" w:sz="4" w:space="0" w:color="auto"/>
              <w:right w:val="single" w:sz="4" w:space="0" w:color="auto"/>
            </w:tcBorders>
            <w:noWrap/>
            <w:vAlign w:val="bottom"/>
            <w:hideMark/>
          </w:tcPr>
          <w:p w:rsidR="00716314" w:rsidRDefault="00716314">
            <w:pPr>
              <w:jc w:val="right"/>
              <w:rPr>
                <w:color w:val="000000"/>
              </w:rPr>
            </w:pPr>
            <w:r>
              <w:rPr>
                <w:color w:val="000000"/>
              </w:rPr>
              <w:t>240</w:t>
            </w:r>
          </w:p>
        </w:tc>
      </w:tr>
    </w:tbl>
    <w:p w:rsidR="00716314" w:rsidRDefault="00716314" w:rsidP="00716314">
      <w:pPr>
        <w:rPr>
          <w:rFonts w:eastAsiaTheme="minorHAnsi"/>
        </w:rPr>
      </w:pPr>
    </w:p>
    <w:p w:rsidR="00716314" w:rsidRDefault="00716314" w:rsidP="00716314">
      <w:pPr>
        <w:rPr>
          <w:rFonts w:eastAsiaTheme="minorHAnsi"/>
        </w:rPr>
      </w:pPr>
    </w:p>
    <w:p w:rsidR="00716314" w:rsidRDefault="00716314" w:rsidP="00716314">
      <w:pPr>
        <w:rPr>
          <w:b/>
        </w:rPr>
      </w:pPr>
      <w:r>
        <w:rPr>
          <w:b/>
        </w:rPr>
        <w:t>Saygılarımızla…</w:t>
      </w:r>
    </w:p>
    <w:p w:rsidR="00716314" w:rsidRDefault="00716314" w:rsidP="0033210E">
      <w:pPr>
        <w:rPr>
          <w:rFonts w:asciiTheme="majorHAnsi" w:hAnsiTheme="majorHAnsi" w:cs="Arial"/>
          <w:b/>
          <w:bCs/>
          <w:szCs w:val="22"/>
        </w:rPr>
      </w:pPr>
    </w:p>
    <w:sectPr w:rsidR="00716314"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27C" w:rsidRDefault="0054627C">
      <w:r>
        <w:separator/>
      </w:r>
    </w:p>
  </w:endnote>
  <w:endnote w:type="continuationSeparator" w:id="0">
    <w:p w:rsidR="0054627C" w:rsidRDefault="0054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27C" w:rsidRDefault="0054627C">
      <w:r>
        <w:separator/>
      </w:r>
    </w:p>
  </w:footnote>
  <w:footnote w:type="continuationSeparator" w:id="0">
    <w:p w:rsidR="0054627C" w:rsidRDefault="0054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7873048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2D8D"/>
    <w:rsid w:val="0005651A"/>
    <w:rsid w:val="00063191"/>
    <w:rsid w:val="00064A41"/>
    <w:rsid w:val="00065C9C"/>
    <w:rsid w:val="00066F88"/>
    <w:rsid w:val="000671A6"/>
    <w:rsid w:val="00070251"/>
    <w:rsid w:val="00072512"/>
    <w:rsid w:val="00072B68"/>
    <w:rsid w:val="00075BA9"/>
    <w:rsid w:val="00075EB1"/>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2927"/>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627C"/>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314"/>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2793C"/>
    <w:rsid w:val="00B31A7C"/>
    <w:rsid w:val="00B320F3"/>
    <w:rsid w:val="00B352FA"/>
    <w:rsid w:val="00B40169"/>
    <w:rsid w:val="00B41C94"/>
    <w:rsid w:val="00B45FA0"/>
    <w:rsid w:val="00B5137F"/>
    <w:rsid w:val="00B514BE"/>
    <w:rsid w:val="00B516A7"/>
    <w:rsid w:val="00B51AD2"/>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CCD17"/>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5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7163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77849271">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6CD1-4F52-4329-A2D3-211326A1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1043</Words>
  <Characters>5949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6979</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13</cp:revision>
  <cp:lastPrinted>2016-12-05T12:29:00Z</cp:lastPrinted>
  <dcterms:created xsi:type="dcterms:W3CDTF">2017-04-13T14:12:00Z</dcterms:created>
  <dcterms:modified xsi:type="dcterms:W3CDTF">2018-01-29T08:28:00Z</dcterms:modified>
</cp:coreProperties>
</file>