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5B4" w:rsidRDefault="00B535B4" w:rsidP="00B535B4">
      <w:pPr>
        <w:pStyle w:val="NormalWeb"/>
        <w:shd w:val="clear" w:color="auto" w:fill="FFFFFF"/>
        <w:spacing w:before="0" w:beforeAutospacing="0" w:after="150" w:afterAutospacing="0" w:line="300" w:lineRule="atLeast"/>
        <w:ind w:firstLine="708"/>
        <w:jc w:val="both"/>
        <w:rPr>
          <w:b/>
          <w:color w:val="000000"/>
          <w:sz w:val="28"/>
          <w:szCs w:val="28"/>
        </w:rPr>
      </w:pPr>
    </w:p>
    <w:tbl>
      <w:tblPr>
        <w:tblStyle w:val="TabloKlavuzu"/>
        <w:tblpPr w:leftFromText="141" w:rightFromText="141" w:vertAnchor="text" w:horzAnchor="margin" w:tblpXSpec="center" w:tblpY="26"/>
        <w:tblW w:w="9209" w:type="dxa"/>
        <w:tblLook w:val="04A0" w:firstRow="1" w:lastRow="0" w:firstColumn="1" w:lastColumn="0" w:noHBand="0" w:noVBand="1"/>
      </w:tblPr>
      <w:tblGrid>
        <w:gridCol w:w="988"/>
        <w:gridCol w:w="8221"/>
      </w:tblGrid>
      <w:tr w:rsidR="00B535B4" w:rsidTr="00B535B4">
        <w:trPr>
          <w:trHeight w:val="471"/>
        </w:trPr>
        <w:tc>
          <w:tcPr>
            <w:tcW w:w="988" w:type="dxa"/>
          </w:tcPr>
          <w:p w:rsidR="00B535B4" w:rsidRDefault="00B535B4" w:rsidP="00B535B4">
            <w:pPr>
              <w:pStyle w:val="NormalWeb"/>
              <w:spacing w:before="0" w:beforeAutospacing="0" w:after="0" w:afterAutospacing="0" w:line="300" w:lineRule="atLeast"/>
              <w:ind w:right="-284"/>
              <w:jc w:val="both"/>
              <w:rPr>
                <w:b/>
                <w:color w:val="FF0000"/>
              </w:rPr>
            </w:pPr>
            <w:r>
              <w:rPr>
                <w:b/>
                <w:u w:val="single"/>
              </w:rPr>
              <w:t xml:space="preserve">Sayı </w:t>
            </w:r>
            <w:proofErr w:type="gramStart"/>
            <w:r>
              <w:rPr>
                <w:b/>
                <w:u w:val="single"/>
              </w:rPr>
              <w:t xml:space="preserve">  :</w:t>
            </w:r>
            <w:proofErr w:type="gramEnd"/>
          </w:p>
        </w:tc>
        <w:tc>
          <w:tcPr>
            <w:tcW w:w="8221" w:type="dxa"/>
          </w:tcPr>
          <w:p w:rsidR="00B535B4" w:rsidRDefault="00B535B4" w:rsidP="00B535B4">
            <w:pPr>
              <w:pStyle w:val="NormalWeb"/>
              <w:spacing w:before="0" w:beforeAutospacing="0" w:after="0" w:afterAutospacing="0" w:line="300" w:lineRule="atLeast"/>
              <w:ind w:right="-284"/>
              <w:jc w:val="both"/>
              <w:rPr>
                <w:b/>
                <w:color w:val="FF0000"/>
              </w:rPr>
            </w:pPr>
            <w:r>
              <w:rPr>
                <w:b/>
                <w:color w:val="FF0000"/>
              </w:rPr>
              <w:t>2018/04</w:t>
            </w:r>
          </w:p>
        </w:tc>
      </w:tr>
      <w:tr w:rsidR="00B535B4" w:rsidTr="00B535B4">
        <w:trPr>
          <w:trHeight w:val="574"/>
        </w:trPr>
        <w:tc>
          <w:tcPr>
            <w:tcW w:w="988" w:type="dxa"/>
          </w:tcPr>
          <w:p w:rsidR="00B535B4" w:rsidRDefault="00B535B4" w:rsidP="00B535B4">
            <w:pPr>
              <w:pStyle w:val="NormalWeb"/>
              <w:spacing w:before="0" w:beforeAutospacing="0" w:after="0" w:afterAutospacing="0" w:line="300" w:lineRule="atLeast"/>
              <w:ind w:right="-284"/>
              <w:jc w:val="both"/>
              <w:rPr>
                <w:b/>
                <w:u w:val="single"/>
              </w:rPr>
            </w:pPr>
            <w:proofErr w:type="gramStart"/>
            <w:r>
              <w:rPr>
                <w:b/>
                <w:color w:val="000000"/>
                <w:u w:val="single"/>
              </w:rPr>
              <w:t>Konu :</w:t>
            </w:r>
            <w:proofErr w:type="gramEnd"/>
          </w:p>
        </w:tc>
        <w:tc>
          <w:tcPr>
            <w:tcW w:w="8221" w:type="dxa"/>
          </w:tcPr>
          <w:p w:rsidR="00B535B4" w:rsidRDefault="00B535B4" w:rsidP="00B535B4">
            <w:pPr>
              <w:pStyle w:val="NormalWeb"/>
              <w:shd w:val="clear" w:color="auto" w:fill="FFFFFF"/>
              <w:spacing w:before="0" w:beforeAutospacing="0" w:after="0" w:afterAutospacing="0" w:line="300" w:lineRule="atLeast"/>
              <w:ind w:right="-284" w:hanging="142"/>
              <w:jc w:val="both"/>
              <w:rPr>
                <w:rStyle w:val="Gl"/>
                <w:b w:val="0"/>
                <w:color w:val="000000"/>
                <w:shd w:val="clear" w:color="auto" w:fill="FFFFFF"/>
              </w:rPr>
            </w:pPr>
            <w:r>
              <w:rPr>
                <w:rStyle w:val="Gl"/>
                <w:color w:val="000000"/>
                <w:shd w:val="clear" w:color="auto" w:fill="FFFFFF"/>
              </w:rPr>
              <w:t xml:space="preserve"> </w:t>
            </w:r>
            <w:r>
              <w:rPr>
                <w:rStyle w:val="Gl"/>
                <w:shd w:val="clear" w:color="auto" w:fill="FFFFFF"/>
              </w:rPr>
              <w:t xml:space="preserve">  </w:t>
            </w:r>
            <w:r w:rsidRPr="00376BF5">
              <w:rPr>
                <w:rStyle w:val="Gl"/>
                <w:color w:val="000000"/>
                <w:shd w:val="clear" w:color="auto" w:fill="FFFFFF"/>
              </w:rPr>
              <w:t xml:space="preserve">Döviz Geliri Olmayan Türkiye’de Yerleşik Kişilerce Döviz Kredisi </w:t>
            </w:r>
          </w:p>
          <w:p w:rsidR="00B535B4" w:rsidRPr="00DE2815" w:rsidRDefault="00B535B4" w:rsidP="00B535B4">
            <w:pPr>
              <w:pStyle w:val="NormalWeb"/>
              <w:shd w:val="clear" w:color="auto" w:fill="FFFFFF"/>
              <w:spacing w:before="0" w:beforeAutospacing="0" w:after="0" w:afterAutospacing="0" w:line="300" w:lineRule="atLeast"/>
              <w:ind w:right="-284" w:hanging="142"/>
              <w:jc w:val="both"/>
              <w:rPr>
                <w:bCs/>
                <w:color w:val="000000"/>
                <w:u w:val="single"/>
              </w:rPr>
            </w:pPr>
            <w:r>
              <w:rPr>
                <w:rStyle w:val="Gl"/>
                <w:shd w:val="clear" w:color="auto" w:fill="FFFFFF"/>
              </w:rPr>
              <w:t xml:space="preserve">   </w:t>
            </w:r>
            <w:r w:rsidRPr="00376BF5">
              <w:rPr>
                <w:rStyle w:val="Gl"/>
                <w:color w:val="000000"/>
                <w:shd w:val="clear" w:color="auto" w:fill="FFFFFF"/>
              </w:rPr>
              <w:t>Kullanılmasına İlişkin Karar</w:t>
            </w:r>
          </w:p>
        </w:tc>
      </w:tr>
    </w:tbl>
    <w:p w:rsidR="00B535B4" w:rsidRDefault="00B535B4" w:rsidP="00B535B4">
      <w:pPr>
        <w:ind w:right="-284"/>
      </w:pPr>
    </w:p>
    <w:p w:rsidR="00B535B4" w:rsidRDefault="00B535B4" w:rsidP="00B535B4">
      <w:pPr>
        <w:ind w:right="-284"/>
      </w:pPr>
    </w:p>
    <w:p w:rsidR="00B535B4" w:rsidRPr="00376BF5" w:rsidRDefault="00B535B4" w:rsidP="00B535B4">
      <w:pPr>
        <w:pStyle w:val="NormalWeb"/>
        <w:shd w:val="clear" w:color="auto" w:fill="FFFFFF"/>
        <w:spacing w:before="0" w:beforeAutospacing="0" w:after="150" w:afterAutospacing="0" w:line="300" w:lineRule="atLeast"/>
        <w:jc w:val="both"/>
        <w:rPr>
          <w:color w:val="000000"/>
        </w:rPr>
      </w:pPr>
      <w:r>
        <w:tab/>
      </w:r>
      <w:r w:rsidRPr="00376BF5">
        <w:rPr>
          <w:color w:val="000000"/>
        </w:rPr>
        <w:t xml:space="preserve">5 Ocak 2018 tarihli ve 30312 sayılı Resmi </w:t>
      </w:r>
      <w:proofErr w:type="spellStart"/>
      <w:r w:rsidRPr="00376BF5">
        <w:rPr>
          <w:color w:val="000000"/>
        </w:rPr>
        <w:t>Gazete’de</w:t>
      </w:r>
      <w:proofErr w:type="spellEnd"/>
      <w:r w:rsidRPr="00376BF5">
        <w:rPr>
          <w:color w:val="000000"/>
        </w:rPr>
        <w:t>; 2018/11185 sayılı “</w:t>
      </w:r>
      <w:r w:rsidRPr="00376BF5">
        <w:rPr>
          <w:i/>
          <w:iCs/>
          <w:color w:val="000000"/>
        </w:rPr>
        <w:t xml:space="preserve">Türk Parası Kıymetini Koruma Hakkında 32 Sayılı Kararda Değişiklik Yapılmasına Dair </w:t>
      </w:r>
      <w:proofErr w:type="gramStart"/>
      <w:r w:rsidRPr="00376BF5">
        <w:rPr>
          <w:i/>
          <w:iCs/>
          <w:color w:val="000000"/>
        </w:rPr>
        <w:t xml:space="preserve">Karar </w:t>
      </w:r>
      <w:r w:rsidRPr="00376BF5">
        <w:rPr>
          <w:color w:val="000000"/>
        </w:rPr>
        <w:t>’</w:t>
      </w:r>
      <w:proofErr w:type="gramEnd"/>
      <w:r w:rsidRPr="00376BF5">
        <w:rPr>
          <w:color w:val="000000"/>
        </w:rPr>
        <w:t>’ yayımlandı.</w:t>
      </w:r>
    </w:p>
    <w:p w:rsidR="00B535B4" w:rsidRPr="00376BF5" w:rsidRDefault="00B535B4" w:rsidP="00B535B4">
      <w:pPr>
        <w:shd w:val="clear" w:color="auto" w:fill="FFFFFF"/>
        <w:spacing w:after="150" w:line="300" w:lineRule="atLeast"/>
        <w:jc w:val="both"/>
        <w:rPr>
          <w:color w:val="000000"/>
        </w:rPr>
      </w:pPr>
      <w:r w:rsidRPr="00376BF5">
        <w:rPr>
          <w:b/>
          <w:bCs/>
          <w:color w:val="000000"/>
        </w:rPr>
        <w:t>02/05/2018 tarihinde yürürlüğe girecek</w:t>
      </w:r>
      <w:r w:rsidRPr="00376BF5">
        <w:rPr>
          <w:color w:val="000000"/>
        </w:rPr>
        <w:t xml:space="preserve"> olan bu Karar </w:t>
      </w:r>
      <w:proofErr w:type="gramStart"/>
      <w:r w:rsidRPr="00376BF5">
        <w:rPr>
          <w:color w:val="000000"/>
        </w:rPr>
        <w:t>ile ;</w:t>
      </w:r>
      <w:proofErr w:type="gramEnd"/>
    </w:p>
    <w:p w:rsidR="00B535B4" w:rsidRPr="00376BF5" w:rsidRDefault="00B535B4" w:rsidP="00B535B4">
      <w:pPr>
        <w:shd w:val="clear" w:color="auto" w:fill="FFFFFF"/>
        <w:spacing w:after="150" w:line="300" w:lineRule="atLeast"/>
        <w:jc w:val="both"/>
        <w:rPr>
          <w:b/>
        </w:rPr>
      </w:pPr>
      <w:r w:rsidRPr="006C4C59">
        <w:rPr>
          <w:b/>
          <w:bCs/>
        </w:rPr>
        <w:t>A) DÖVİZ GELİRİ OLMAYAN TÜRKİYE’DE YERLEŞİK KİŞİLERCE DÖVİZ KREDİSİ KULLANILMASI</w:t>
      </w:r>
    </w:p>
    <w:p w:rsidR="00B535B4" w:rsidRPr="00376BF5" w:rsidRDefault="00B535B4" w:rsidP="00B535B4">
      <w:pPr>
        <w:shd w:val="clear" w:color="auto" w:fill="FFFFFF"/>
        <w:spacing w:after="150" w:line="300" w:lineRule="atLeast"/>
        <w:jc w:val="both"/>
        <w:rPr>
          <w:color w:val="000000"/>
        </w:rPr>
      </w:pPr>
      <w:r w:rsidRPr="00376BF5">
        <w:rPr>
          <w:color w:val="000000"/>
        </w:rPr>
        <w:t>Karara göre, 02/05/2018 tarihi itibariyle</w:t>
      </w:r>
      <w:r w:rsidRPr="006C4C59">
        <w:rPr>
          <w:b/>
          <w:bCs/>
          <w:color w:val="000000"/>
        </w:rPr>
        <w:t> </w:t>
      </w:r>
      <w:r w:rsidRPr="006C4C59">
        <w:rPr>
          <w:b/>
          <w:bCs/>
          <w:color w:val="000000"/>
          <w:u w:val="single"/>
        </w:rPr>
        <w:t>döviz geliri olmayan</w:t>
      </w:r>
      <w:r w:rsidRPr="006C4C59">
        <w:rPr>
          <w:color w:val="000000"/>
        </w:rPr>
        <w:t> </w:t>
      </w:r>
      <w:r w:rsidRPr="00376BF5">
        <w:rPr>
          <w:color w:val="000000"/>
        </w:rPr>
        <w:t>Türkiye’de yerleşik kişiler</w:t>
      </w:r>
      <w:r w:rsidRPr="006C4C59">
        <w:rPr>
          <w:color w:val="000000"/>
        </w:rPr>
        <w:t> </w:t>
      </w:r>
      <w:r w:rsidRPr="006C4C59">
        <w:rPr>
          <w:b/>
          <w:bCs/>
          <w:color w:val="000000"/>
        </w:rPr>
        <w:t>yurt dışından veya yurt içinden döviz kredisi kullanamayacaktır.</w:t>
      </w:r>
    </w:p>
    <w:p w:rsidR="00B535B4" w:rsidRPr="00376BF5" w:rsidRDefault="00B535B4" w:rsidP="00B535B4">
      <w:pPr>
        <w:shd w:val="clear" w:color="auto" w:fill="FFFFFF"/>
        <w:spacing w:after="150" w:line="300" w:lineRule="atLeast"/>
        <w:jc w:val="both"/>
        <w:rPr>
          <w:color w:val="000000"/>
        </w:rPr>
      </w:pPr>
      <w:r w:rsidRPr="00376BF5">
        <w:rPr>
          <w:color w:val="000000"/>
        </w:rPr>
        <w:t>Burada</w:t>
      </w:r>
      <w:r w:rsidRPr="006C4C59">
        <w:rPr>
          <w:color w:val="000000"/>
        </w:rPr>
        <w:t> </w:t>
      </w:r>
      <w:r w:rsidRPr="006C4C59">
        <w:rPr>
          <w:b/>
          <w:bCs/>
          <w:color w:val="000000"/>
        </w:rPr>
        <w:t>döviz gelirinden</w:t>
      </w:r>
      <w:r w:rsidRPr="006C4C59">
        <w:rPr>
          <w:color w:val="000000"/>
        </w:rPr>
        <w:t> </w:t>
      </w:r>
      <w:r w:rsidRPr="00376BF5">
        <w:rPr>
          <w:color w:val="000000"/>
        </w:rPr>
        <w:t>kasıt ise şu şekilde ifade edilmiştir: "</w:t>
      </w:r>
      <w:r w:rsidRPr="006C4C59">
        <w:rPr>
          <w:i/>
          <w:iCs/>
          <w:color w:val="000000"/>
        </w:rPr>
        <w:t>İlgili mevzuat ile belirlenen ihracat, transit ticaret, ihracat sayılan satış ve teslimler ile döviz kazandırıcı hizmet ve faaliyetlerden elde edilen gelirleri</w:t>
      </w:r>
      <w:r w:rsidRPr="00376BF5">
        <w:rPr>
          <w:color w:val="000000"/>
        </w:rPr>
        <w:t>,".</w:t>
      </w:r>
    </w:p>
    <w:p w:rsidR="00B535B4" w:rsidRPr="00376BF5" w:rsidRDefault="00B535B4" w:rsidP="00B535B4">
      <w:pPr>
        <w:shd w:val="clear" w:color="auto" w:fill="FFFFFF"/>
        <w:spacing w:after="150" w:line="300" w:lineRule="atLeast"/>
        <w:jc w:val="both"/>
        <w:rPr>
          <w:color w:val="000000"/>
        </w:rPr>
      </w:pPr>
      <w:r w:rsidRPr="00376BF5">
        <w:rPr>
          <w:color w:val="000000"/>
        </w:rPr>
        <w:t>Ancak Kararda sayılan ve aşağıda yer verilen hallerde</w:t>
      </w:r>
      <w:r w:rsidRPr="006C4C59">
        <w:rPr>
          <w:color w:val="000000"/>
        </w:rPr>
        <w:t> </w:t>
      </w:r>
      <w:r w:rsidRPr="006C4C59">
        <w:rPr>
          <w:b/>
          <w:bCs/>
          <w:color w:val="000000"/>
        </w:rPr>
        <w:t>döviz geliri şartı </w:t>
      </w:r>
      <w:r w:rsidRPr="006C4C59">
        <w:rPr>
          <w:b/>
          <w:bCs/>
          <w:color w:val="000000"/>
          <w:u w:val="single"/>
        </w:rPr>
        <w:t>aranmayacaktır</w:t>
      </w:r>
      <w:r w:rsidRPr="00376BF5">
        <w:rPr>
          <w:color w:val="000000"/>
          <w:u w:val="single"/>
        </w:rPr>
        <w:t>.</w:t>
      </w:r>
      <w:r w:rsidRPr="00376BF5">
        <w:rPr>
          <w:color w:val="000000"/>
        </w:rPr>
        <w:t>  </w:t>
      </w:r>
    </w:p>
    <w:p w:rsidR="00B535B4" w:rsidRPr="00376BF5" w:rsidRDefault="00B535B4" w:rsidP="00B535B4">
      <w:pPr>
        <w:shd w:val="clear" w:color="auto" w:fill="FFFFFF"/>
        <w:spacing w:after="150" w:line="300" w:lineRule="atLeast"/>
        <w:jc w:val="both"/>
        <w:rPr>
          <w:color w:val="000000"/>
        </w:rPr>
      </w:pPr>
      <w:r w:rsidRPr="00376BF5">
        <w:rPr>
          <w:color w:val="000000"/>
        </w:rPr>
        <w:t>Bu şartlardan öne çıkan husus ise, söz konusu kısıtlamanın, kullanım tarihinde kredi bakiyesi</w:t>
      </w:r>
      <w:r w:rsidRPr="006C4C59">
        <w:rPr>
          <w:color w:val="000000"/>
        </w:rPr>
        <w:t> </w:t>
      </w:r>
      <w:r w:rsidRPr="006C4C59">
        <w:rPr>
          <w:b/>
          <w:bCs/>
          <w:color w:val="000000"/>
        </w:rPr>
        <w:t>15 milyon ABD doları veya üzerinde olan</w:t>
      </w:r>
      <w:r w:rsidRPr="006C4C59">
        <w:rPr>
          <w:color w:val="000000"/>
        </w:rPr>
        <w:t> </w:t>
      </w:r>
      <w:r w:rsidRPr="00376BF5">
        <w:rPr>
          <w:color w:val="000000"/>
        </w:rPr>
        <w:t>Türkiye’de yerleşik kişilerce kullanılacak döviz kredilerini kapsamamasıdır.</w:t>
      </w:r>
    </w:p>
    <w:p w:rsidR="00B535B4" w:rsidRPr="00376BF5" w:rsidRDefault="00B535B4" w:rsidP="00B535B4">
      <w:pPr>
        <w:shd w:val="clear" w:color="auto" w:fill="FFFFFF"/>
        <w:spacing w:after="150" w:line="300" w:lineRule="atLeast"/>
        <w:jc w:val="both"/>
        <w:rPr>
          <w:color w:val="000000"/>
        </w:rPr>
      </w:pPr>
      <w:r w:rsidRPr="00376BF5">
        <w:rPr>
          <w:color w:val="000000"/>
        </w:rPr>
        <w:t>Burada</w:t>
      </w:r>
      <w:r w:rsidRPr="006C4C59">
        <w:rPr>
          <w:color w:val="000000"/>
        </w:rPr>
        <w:t> </w:t>
      </w:r>
      <w:r w:rsidRPr="006C4C59">
        <w:rPr>
          <w:b/>
          <w:bCs/>
          <w:color w:val="000000"/>
        </w:rPr>
        <w:t>kredi bakiyesinden</w:t>
      </w:r>
      <w:r w:rsidRPr="006C4C59">
        <w:rPr>
          <w:color w:val="000000"/>
        </w:rPr>
        <w:t> </w:t>
      </w:r>
      <w:r w:rsidRPr="00376BF5">
        <w:rPr>
          <w:color w:val="000000"/>
        </w:rPr>
        <w:t>kasıt ise şu şekilde ifade edilmiştir: "</w:t>
      </w:r>
      <w:r w:rsidRPr="006C4C59">
        <w:rPr>
          <w:i/>
          <w:iCs/>
          <w:color w:val="000000"/>
        </w:rPr>
        <w:t>Yurt içinden ve yurt dışından temin edilen nakit döviz kredisi borçlarının geri ödemesi yapılmamış toplamını</w:t>
      </w:r>
      <w:r w:rsidRPr="00376BF5">
        <w:rPr>
          <w:color w:val="000000"/>
        </w:rPr>
        <w:t>,”</w:t>
      </w:r>
    </w:p>
    <w:p w:rsidR="00B535B4" w:rsidRPr="00376BF5" w:rsidRDefault="00B535B4" w:rsidP="00B535B4">
      <w:pPr>
        <w:shd w:val="clear" w:color="auto" w:fill="FFFFFF"/>
        <w:spacing w:after="150" w:line="300" w:lineRule="atLeast"/>
        <w:jc w:val="both"/>
        <w:rPr>
          <w:color w:val="000000"/>
        </w:rPr>
      </w:pPr>
      <w:r w:rsidRPr="00376BF5">
        <w:rPr>
          <w:color w:val="000000"/>
        </w:rPr>
        <w:t>Döviz geliri şartı aranmayacak haller:</w:t>
      </w:r>
    </w:p>
    <w:p w:rsidR="00B535B4" w:rsidRPr="00376BF5" w:rsidRDefault="00B535B4" w:rsidP="00B535B4">
      <w:pPr>
        <w:numPr>
          <w:ilvl w:val="0"/>
          <w:numId w:val="8"/>
        </w:numPr>
        <w:shd w:val="clear" w:color="auto" w:fill="FFFFFF"/>
        <w:spacing w:after="150" w:line="300" w:lineRule="atLeast"/>
        <w:jc w:val="both"/>
        <w:rPr>
          <w:color w:val="000000"/>
        </w:rPr>
      </w:pPr>
      <w:r w:rsidRPr="00376BF5">
        <w:rPr>
          <w:color w:val="000000"/>
        </w:rPr>
        <w:t>Kamu kurum ve kuruluşları,</w:t>
      </w:r>
      <w:r w:rsidRPr="006C4C59">
        <w:rPr>
          <w:color w:val="000000"/>
        </w:rPr>
        <w:t> </w:t>
      </w:r>
      <w:r w:rsidRPr="006C4C59">
        <w:rPr>
          <w:b/>
          <w:bCs/>
          <w:color w:val="000000"/>
        </w:rPr>
        <w:t>bankalar ile Türkiye’de yerleşik f</w:t>
      </w:r>
      <w:r>
        <w:rPr>
          <w:b/>
          <w:bCs/>
          <w:color w:val="000000"/>
        </w:rPr>
        <w:t>i</w:t>
      </w:r>
      <w:r w:rsidRPr="006C4C59">
        <w:rPr>
          <w:b/>
          <w:bCs/>
          <w:color w:val="000000"/>
        </w:rPr>
        <w:t xml:space="preserve">nansal kiralama şirketleri, </w:t>
      </w:r>
      <w:proofErr w:type="spellStart"/>
      <w:r w:rsidRPr="006C4C59">
        <w:rPr>
          <w:b/>
          <w:bCs/>
          <w:color w:val="000000"/>
        </w:rPr>
        <w:t>faktoring</w:t>
      </w:r>
      <w:proofErr w:type="spellEnd"/>
      <w:r w:rsidRPr="006C4C59">
        <w:rPr>
          <w:b/>
          <w:bCs/>
          <w:color w:val="000000"/>
        </w:rPr>
        <w:t xml:space="preserve"> şirketleri ve finansman şirketlerinin</w:t>
      </w:r>
      <w:r w:rsidRPr="006C4C59">
        <w:rPr>
          <w:color w:val="000000"/>
        </w:rPr>
        <w:t> </w:t>
      </w:r>
      <w:r w:rsidRPr="00376BF5">
        <w:rPr>
          <w:color w:val="000000"/>
        </w:rPr>
        <w:t>kullanacakları döviz kredileri.</w:t>
      </w:r>
    </w:p>
    <w:p w:rsidR="00B535B4" w:rsidRPr="00376BF5" w:rsidRDefault="00B535B4" w:rsidP="00B535B4">
      <w:pPr>
        <w:numPr>
          <w:ilvl w:val="0"/>
          <w:numId w:val="8"/>
        </w:numPr>
        <w:shd w:val="clear" w:color="auto" w:fill="FFFFFF"/>
        <w:spacing w:after="150" w:line="300" w:lineRule="atLeast"/>
        <w:jc w:val="both"/>
        <w:rPr>
          <w:color w:val="000000"/>
        </w:rPr>
      </w:pPr>
      <w:r w:rsidRPr="00376BF5">
        <w:rPr>
          <w:color w:val="000000"/>
        </w:rPr>
        <w:t>Kullanım tarihinde</w:t>
      </w:r>
      <w:r w:rsidRPr="006C4C59">
        <w:rPr>
          <w:color w:val="000000"/>
        </w:rPr>
        <w:t> </w:t>
      </w:r>
      <w:r w:rsidRPr="006C4C59">
        <w:rPr>
          <w:b/>
          <w:bCs/>
          <w:color w:val="000000"/>
        </w:rPr>
        <w:t>kredi bakiyesi 15 milyon ABD doları veya üzerinde olan Türkiye’de yerleşik kişilerce kullanılacak döviz kredileri</w:t>
      </w:r>
      <w:r w:rsidRPr="00376BF5">
        <w:rPr>
          <w:color w:val="000000"/>
        </w:rPr>
        <w:t>.</w:t>
      </w:r>
    </w:p>
    <w:p w:rsidR="00B535B4" w:rsidRPr="00CF3771" w:rsidRDefault="00B535B4" w:rsidP="00CF3771">
      <w:pPr>
        <w:numPr>
          <w:ilvl w:val="0"/>
          <w:numId w:val="8"/>
        </w:numPr>
        <w:shd w:val="clear" w:color="auto" w:fill="FFFFFF"/>
        <w:spacing w:after="150" w:line="300" w:lineRule="atLeast"/>
        <w:jc w:val="both"/>
        <w:rPr>
          <w:color w:val="000000"/>
        </w:rPr>
      </w:pPr>
      <w:r w:rsidRPr="006C4C59">
        <w:rPr>
          <w:b/>
          <w:bCs/>
          <w:color w:val="000000"/>
        </w:rPr>
        <w:t>Yatırım teşvik belgesi kapsamında</w:t>
      </w:r>
      <w:r w:rsidRPr="006C4C59">
        <w:rPr>
          <w:color w:val="000000"/>
        </w:rPr>
        <w:t> </w:t>
      </w:r>
      <w:r w:rsidRPr="00376BF5">
        <w:rPr>
          <w:color w:val="000000"/>
        </w:rPr>
        <w:t xml:space="preserve">kredi almaları öngörülen Türkiye'de yerleşik kişiler tarafından kullanılacak döviz kredileri ile 24/12/2007 tarihli ve 2007/13033 sayılı Bakanlar Kurulu Kararı ile yürürlüğe konulan Mal ve Hizmetlere Uygulanacak Katma Değer Vergisi Oranlarının Tespitine İlişkin Kararın eki (I) sayılı listenin 17 </w:t>
      </w:r>
      <w:proofErr w:type="spellStart"/>
      <w:r w:rsidRPr="00376BF5">
        <w:rPr>
          <w:color w:val="000000"/>
        </w:rPr>
        <w:t>nci</w:t>
      </w:r>
      <w:proofErr w:type="spellEnd"/>
      <w:r w:rsidRPr="00376BF5">
        <w:rPr>
          <w:color w:val="000000"/>
        </w:rPr>
        <w:t xml:space="preserve"> sırasında sayılan gümrük tarife istatistik pozisyonlarında yer alan makine ve cihazların (kullanılmış olanları ile aksam, parça, aksesuar ve teferruatları hariç) finansmanı için kullanılacak döviz kredileri.</w:t>
      </w:r>
    </w:p>
    <w:p w:rsidR="00B535B4" w:rsidRPr="00376BF5" w:rsidRDefault="00B535B4" w:rsidP="00B535B4">
      <w:pPr>
        <w:numPr>
          <w:ilvl w:val="0"/>
          <w:numId w:val="8"/>
        </w:numPr>
        <w:shd w:val="clear" w:color="auto" w:fill="FFFFFF"/>
        <w:spacing w:after="150" w:line="300" w:lineRule="atLeast"/>
        <w:jc w:val="both"/>
        <w:rPr>
          <w:color w:val="000000"/>
        </w:rPr>
      </w:pPr>
      <w:r w:rsidRPr="00376BF5">
        <w:rPr>
          <w:color w:val="000000"/>
        </w:rPr>
        <w:t>Uluslararası ilana çıkılan yurt içi ihalelere ilişkin faaliyetlerle ilgili olarak ihaleyi kazanan Türkiye’de yerleşik kişilerin veya Savunma Sanayii Müsteşarlığınca onaylanan savunma sanayii projelerini üstlenen Türkiye'de yerleşik kişilerin kullanacakları döviz kredileri.</w:t>
      </w:r>
    </w:p>
    <w:p w:rsidR="00B535B4" w:rsidRDefault="00B535B4" w:rsidP="00B535B4">
      <w:pPr>
        <w:numPr>
          <w:ilvl w:val="0"/>
          <w:numId w:val="8"/>
        </w:numPr>
        <w:shd w:val="clear" w:color="auto" w:fill="FFFFFF"/>
        <w:spacing w:after="150" w:line="300" w:lineRule="atLeast"/>
        <w:jc w:val="both"/>
        <w:rPr>
          <w:color w:val="000000"/>
        </w:rPr>
      </w:pPr>
      <w:r w:rsidRPr="00376BF5">
        <w:rPr>
          <w:color w:val="000000"/>
        </w:rPr>
        <w:t xml:space="preserve">Kamu özel </w:t>
      </w:r>
      <w:proofErr w:type="gramStart"/>
      <w:r w:rsidRPr="00376BF5">
        <w:rPr>
          <w:color w:val="000000"/>
        </w:rPr>
        <w:t>işbirliği</w:t>
      </w:r>
      <w:proofErr w:type="gramEnd"/>
      <w:r w:rsidRPr="00376BF5">
        <w:rPr>
          <w:color w:val="000000"/>
        </w:rPr>
        <w:t xml:space="preserve"> modeli kapsamında gerçekleştirilecek projeleri yürütmekle görevli olan Türkiye’de yerleşik kişilerin kullanacakları döviz kredileri.</w:t>
      </w:r>
    </w:p>
    <w:p w:rsidR="00CF3771" w:rsidRDefault="00CF3771" w:rsidP="00CF3771">
      <w:pPr>
        <w:shd w:val="clear" w:color="auto" w:fill="FFFFFF"/>
        <w:spacing w:after="150" w:line="300" w:lineRule="atLeast"/>
        <w:jc w:val="both"/>
        <w:rPr>
          <w:color w:val="000000"/>
        </w:rPr>
      </w:pPr>
    </w:p>
    <w:p w:rsidR="00CF3771" w:rsidRPr="00376BF5" w:rsidRDefault="00CF3771" w:rsidP="00CF3771">
      <w:pPr>
        <w:shd w:val="clear" w:color="auto" w:fill="FFFFFF"/>
        <w:spacing w:after="150" w:line="300" w:lineRule="atLeast"/>
        <w:jc w:val="both"/>
        <w:rPr>
          <w:color w:val="000000"/>
        </w:rPr>
      </w:pPr>
      <w:bookmarkStart w:id="0" w:name="_GoBack"/>
      <w:bookmarkEnd w:id="0"/>
    </w:p>
    <w:p w:rsidR="00B535B4" w:rsidRPr="00376BF5" w:rsidRDefault="00B535B4" w:rsidP="00B535B4">
      <w:pPr>
        <w:numPr>
          <w:ilvl w:val="0"/>
          <w:numId w:val="8"/>
        </w:numPr>
        <w:shd w:val="clear" w:color="auto" w:fill="FFFFFF"/>
        <w:spacing w:after="150" w:line="300" w:lineRule="atLeast"/>
        <w:jc w:val="both"/>
        <w:rPr>
          <w:color w:val="000000"/>
        </w:rPr>
      </w:pPr>
      <w:r w:rsidRPr="00376BF5">
        <w:rPr>
          <w:color w:val="000000"/>
        </w:rPr>
        <w:t>İhracat, transit ticaret, ihracat sayılan satış ve teslimler ile döviz kazandırıcı hizmet ve faaliyetlere ilişkin bağlantılarını ve muhtemel döviz gelirlerini tevsik etmek kaydıyla, son üç malî yılda döviz geliri olmayan Türkiye’de yerleşik kişilerin tevsik ettikleri muhtemel döviz gelirleri toplamını aşmayacak şekilde kullanacakları döviz kredileri.</w:t>
      </w:r>
    </w:p>
    <w:p w:rsidR="00B535B4" w:rsidRPr="00376BF5" w:rsidRDefault="00B535B4" w:rsidP="00B535B4">
      <w:pPr>
        <w:numPr>
          <w:ilvl w:val="0"/>
          <w:numId w:val="8"/>
        </w:numPr>
        <w:shd w:val="clear" w:color="auto" w:fill="FFFFFF"/>
        <w:spacing w:after="150" w:line="300" w:lineRule="atLeast"/>
        <w:jc w:val="both"/>
        <w:rPr>
          <w:color w:val="000000"/>
        </w:rPr>
      </w:pPr>
      <w:r w:rsidRPr="00376BF5">
        <w:rPr>
          <w:color w:val="000000"/>
        </w:rPr>
        <w:t>Bakanlıkça belirlenecek esaslar dâhilinde Türkiye'de yerleşik kişilerin kullanacakları döviz kredileri. </w:t>
      </w:r>
    </w:p>
    <w:p w:rsidR="00B535B4" w:rsidRPr="006C4C59" w:rsidRDefault="00B535B4" w:rsidP="00B535B4">
      <w:pPr>
        <w:pStyle w:val="NormalWeb"/>
        <w:shd w:val="clear" w:color="auto" w:fill="FFFFFF"/>
        <w:spacing w:before="0" w:beforeAutospacing="0" w:after="150" w:afterAutospacing="0" w:line="300" w:lineRule="atLeast"/>
        <w:jc w:val="both"/>
      </w:pPr>
      <w:r>
        <w:rPr>
          <w:rStyle w:val="Gl"/>
        </w:rPr>
        <w:t>B</w:t>
      </w:r>
      <w:r w:rsidRPr="006C4C59">
        <w:rPr>
          <w:rStyle w:val="Gl"/>
        </w:rPr>
        <w:t>) TÜRKİYE’DE YERLEŞİK KİŞİLERCE YURT İÇİ VE YURT DIŞINDAN TEMİN EDİLEN DÖVİZ KREDİLERİNDE SON 3 MALİ YILIN DÖVİZ GELİRLERİ TOPLAMININ DİKKATE ALINACAK OLMASI</w:t>
      </w:r>
    </w:p>
    <w:p w:rsidR="00B535B4" w:rsidRPr="006C4C59" w:rsidRDefault="00B535B4" w:rsidP="00B535B4">
      <w:pPr>
        <w:pStyle w:val="NormalWeb"/>
        <w:shd w:val="clear" w:color="auto" w:fill="FFFFFF"/>
        <w:spacing w:before="0" w:beforeAutospacing="0" w:after="150" w:afterAutospacing="0" w:line="300" w:lineRule="atLeast"/>
        <w:ind w:firstLine="708"/>
        <w:jc w:val="both"/>
      </w:pPr>
      <w:r w:rsidRPr="006C4C59">
        <w:t>Türkiye’de yerleşik kişilerce yurt içi ve yurt dışından temin edilen döviz kredilerinde son 3 mali yılın döviz gelirleri toplamı dikkate alınacaktır.</w:t>
      </w:r>
    </w:p>
    <w:p w:rsidR="00B535B4" w:rsidRPr="006C4C59" w:rsidRDefault="00B535B4" w:rsidP="00B535B4">
      <w:pPr>
        <w:pStyle w:val="NormalWeb"/>
        <w:shd w:val="clear" w:color="auto" w:fill="FFFFFF"/>
        <w:spacing w:before="0" w:beforeAutospacing="0" w:after="150" w:afterAutospacing="0" w:line="300" w:lineRule="atLeast"/>
        <w:jc w:val="both"/>
      </w:pPr>
      <w:r w:rsidRPr="006C4C59">
        <w:t>Karar</w:t>
      </w:r>
      <w:r>
        <w:t>a</w:t>
      </w:r>
      <w:r w:rsidRPr="006C4C59">
        <w:t xml:space="preserve"> göre;</w:t>
      </w:r>
    </w:p>
    <w:p w:rsidR="00B535B4" w:rsidRPr="006C4C59" w:rsidRDefault="00B535B4" w:rsidP="00B535B4">
      <w:pPr>
        <w:pStyle w:val="NormalWeb"/>
        <w:numPr>
          <w:ilvl w:val="0"/>
          <w:numId w:val="9"/>
        </w:numPr>
        <w:shd w:val="clear" w:color="auto" w:fill="FFFFFF"/>
        <w:spacing w:before="0" w:beforeAutospacing="0" w:after="150" w:afterAutospacing="0" w:line="300" w:lineRule="atLeast"/>
        <w:jc w:val="both"/>
      </w:pPr>
      <w:r w:rsidRPr="006C4C59">
        <w:t>Kullanım tarihinde, krediyi kullananın kredi bakiyesinin</w:t>
      </w:r>
      <w:r w:rsidRPr="006C4C59">
        <w:rPr>
          <w:rStyle w:val="apple-converted-space"/>
        </w:rPr>
        <w:t> </w:t>
      </w:r>
      <w:r w:rsidRPr="006C4C59">
        <w:rPr>
          <w:rStyle w:val="Gl"/>
        </w:rPr>
        <w:t>15 milyon ABD Dolarının altında olması durumunda</w:t>
      </w:r>
      <w:r w:rsidRPr="006C4C59">
        <w:t>, kullanılmak istenen kredi tutarı ile mevcut kredi bakiyesi toplamı</w:t>
      </w:r>
      <w:r w:rsidRPr="006C4C59">
        <w:rPr>
          <w:rStyle w:val="apple-converted-space"/>
        </w:rPr>
        <w:t> </w:t>
      </w:r>
      <w:r w:rsidRPr="006C4C59">
        <w:rPr>
          <w:rStyle w:val="Gl"/>
        </w:rPr>
        <w:t>son 3 mali yılın</w:t>
      </w:r>
      <w:r w:rsidRPr="006C4C59">
        <w:rPr>
          <w:rStyle w:val="apple-converted-space"/>
        </w:rPr>
        <w:t> </w:t>
      </w:r>
      <w:r w:rsidRPr="006C4C59">
        <w:rPr>
          <w:rStyle w:val="Gl"/>
        </w:rPr>
        <w:t>döviz gelirleri toplamını</w:t>
      </w:r>
      <w:r w:rsidRPr="006C4C59">
        <w:rPr>
          <w:rStyle w:val="apple-converted-space"/>
        </w:rPr>
        <w:t> </w:t>
      </w:r>
      <w:r w:rsidRPr="006C4C59">
        <w:rPr>
          <w:rStyle w:val="Gl"/>
        </w:rPr>
        <w:t>aşamayacaktır.</w:t>
      </w:r>
    </w:p>
    <w:p w:rsidR="00B535B4" w:rsidRPr="006C4C59" w:rsidRDefault="00B535B4" w:rsidP="00B535B4">
      <w:pPr>
        <w:pStyle w:val="NormalWeb"/>
        <w:numPr>
          <w:ilvl w:val="0"/>
          <w:numId w:val="9"/>
        </w:numPr>
        <w:shd w:val="clear" w:color="auto" w:fill="FFFFFF"/>
        <w:spacing w:before="0" w:beforeAutospacing="0" w:after="150" w:afterAutospacing="0" w:line="300" w:lineRule="atLeast"/>
        <w:jc w:val="both"/>
      </w:pPr>
      <w:r w:rsidRPr="006C4C59">
        <w:t xml:space="preserve">Bankalar ile Türkiye’de yerleşik finansal kiralama şirketleri, </w:t>
      </w:r>
      <w:proofErr w:type="spellStart"/>
      <w:r w:rsidRPr="006C4C59">
        <w:t>faktoring</w:t>
      </w:r>
      <w:proofErr w:type="spellEnd"/>
      <w:r w:rsidRPr="006C4C59">
        <w:t xml:space="preserve"> şirketleri ve finansman şirketleri kullandırdıkları kredilerin yukarıdaki esasa uygunluğunu kontrol etmekle yükümlüdürler.</w:t>
      </w:r>
    </w:p>
    <w:p w:rsidR="00B535B4" w:rsidRPr="006C4C59" w:rsidRDefault="00B535B4" w:rsidP="00B535B4">
      <w:pPr>
        <w:pStyle w:val="NormalWeb"/>
        <w:numPr>
          <w:ilvl w:val="0"/>
          <w:numId w:val="9"/>
        </w:numPr>
        <w:shd w:val="clear" w:color="auto" w:fill="FFFFFF"/>
        <w:spacing w:before="0" w:beforeAutospacing="0" w:after="150" w:afterAutospacing="0" w:line="300" w:lineRule="atLeast"/>
        <w:jc w:val="both"/>
      </w:pPr>
      <w:r w:rsidRPr="006C4C59">
        <w:t>Kredi bakiyesi 15 milyon ABD Dolarının altında olan Türkiye’de yerleşik kişilerin döviz kredisi kullanım talepleri sırasında</w:t>
      </w:r>
      <w:r w:rsidRPr="006C4C59">
        <w:rPr>
          <w:rStyle w:val="apple-converted-space"/>
        </w:rPr>
        <w:t> </w:t>
      </w:r>
      <w:r w:rsidRPr="006C4C59">
        <w:rPr>
          <w:rStyle w:val="Gl"/>
        </w:rPr>
        <w:t>son 3 mali yıla ilişkin döviz gelirlerini mali müşavirlere onaylatmaları zorunlu olacaktır</w:t>
      </w:r>
      <w:r w:rsidRPr="006C4C59">
        <w:t>.</w:t>
      </w:r>
    </w:p>
    <w:p w:rsidR="00B535B4" w:rsidRPr="006C4C59" w:rsidRDefault="00B535B4" w:rsidP="00B535B4">
      <w:pPr>
        <w:pStyle w:val="NormalWeb"/>
        <w:numPr>
          <w:ilvl w:val="0"/>
          <w:numId w:val="9"/>
        </w:numPr>
        <w:shd w:val="clear" w:color="auto" w:fill="FFFFFF"/>
        <w:spacing w:before="0" w:beforeAutospacing="0" w:after="150" w:afterAutospacing="0" w:line="300" w:lineRule="atLeast"/>
        <w:jc w:val="both"/>
      </w:pPr>
      <w:r w:rsidRPr="006C4C59">
        <w:t xml:space="preserve">Kredi bakiyesinin son 3 mali yılın döviz gelirleri toplamını aştığının sonradan tespit edilmesi durumunda yurt içinde bankalardan (serbest bölge şubeleri dâhil), finansal kiralama şirketlerinden, </w:t>
      </w:r>
      <w:proofErr w:type="spellStart"/>
      <w:r w:rsidRPr="006C4C59">
        <w:t>faktoring</w:t>
      </w:r>
      <w:proofErr w:type="spellEnd"/>
      <w:r w:rsidRPr="006C4C59">
        <w:t xml:space="preserve"> şirketlerinden ve finansman şirketlerinden</w:t>
      </w:r>
      <w:r w:rsidRPr="006C4C59">
        <w:rPr>
          <w:rStyle w:val="apple-converted-space"/>
        </w:rPr>
        <w:t> </w:t>
      </w:r>
      <w:r w:rsidRPr="006C4C59">
        <w:rPr>
          <w:rStyle w:val="Gl"/>
        </w:rPr>
        <w:t>kullanılan kredilerin aşıma neden olan kısmı geri çağırılacak veya Türk Lirası krediye dönüştürülecektir</w:t>
      </w:r>
      <w:r w:rsidRPr="006C4C59">
        <w:t>.</w:t>
      </w:r>
    </w:p>
    <w:p w:rsidR="00B535B4" w:rsidRDefault="00B535B4" w:rsidP="00B535B4">
      <w:pPr>
        <w:pStyle w:val="NormalWeb"/>
        <w:numPr>
          <w:ilvl w:val="0"/>
          <w:numId w:val="9"/>
        </w:numPr>
        <w:shd w:val="clear" w:color="auto" w:fill="FFFFFF"/>
        <w:spacing w:before="0" w:beforeAutospacing="0" w:after="150" w:afterAutospacing="0" w:line="300" w:lineRule="atLeast"/>
        <w:jc w:val="both"/>
      </w:pPr>
      <w:r w:rsidRPr="006C4C59">
        <w:t xml:space="preserve">Kredi bakiyesinin son üç mali yılın döviz gelirleri toplamını aştığının sonradan tespit edilmesi durumunda bankaların, finansal kiralama şirketlerinin, </w:t>
      </w:r>
      <w:proofErr w:type="spellStart"/>
      <w:r w:rsidRPr="006C4C59">
        <w:t>faktoring</w:t>
      </w:r>
      <w:proofErr w:type="spellEnd"/>
      <w:r w:rsidRPr="006C4C59">
        <w:t xml:space="preserve"> şirketlerinin ve finansman şirketlerinin</w:t>
      </w:r>
      <w:r w:rsidRPr="006C4C59">
        <w:rPr>
          <w:rStyle w:val="apple-converted-space"/>
        </w:rPr>
        <w:t> </w:t>
      </w:r>
      <w:r w:rsidRPr="006C4C59">
        <w:rPr>
          <w:rStyle w:val="Gl"/>
        </w:rPr>
        <w:t>yurt dışındaki şubeleri</w:t>
      </w:r>
      <w:r w:rsidRPr="006C4C59">
        <w:rPr>
          <w:rStyle w:val="apple-converted-space"/>
        </w:rPr>
        <w:t> </w:t>
      </w:r>
      <w:r w:rsidRPr="006C4C59">
        <w:t xml:space="preserve">(bankaların </w:t>
      </w:r>
      <w:proofErr w:type="spellStart"/>
      <w:r w:rsidRPr="006C4C59">
        <w:t>off-shore</w:t>
      </w:r>
      <w:proofErr w:type="spellEnd"/>
      <w:r w:rsidRPr="006C4C59">
        <w:t xml:space="preserve"> şubeleri dâhil, serbest bölge şubeleri hariç) tarafından kullandırılan kredilerin aşıma neden olan kısmı geri çağırılacak veya Türk Lirası krediye dönüştürülecektir.</w:t>
      </w:r>
    </w:p>
    <w:p w:rsidR="00B535B4" w:rsidRPr="003B322F" w:rsidRDefault="00B535B4" w:rsidP="00B535B4">
      <w:pPr>
        <w:shd w:val="clear" w:color="auto" w:fill="FFFFFF"/>
        <w:spacing w:after="150" w:line="300" w:lineRule="atLeast"/>
        <w:jc w:val="both"/>
      </w:pPr>
      <w:r w:rsidRPr="003B322F">
        <w:rPr>
          <w:b/>
          <w:bCs/>
        </w:rPr>
        <w:t>C) GERÇEK KİŞİLERCE YURT İÇİNDEN VEYA YURT DIŞINDAN DÖVİZ KREDİSİ KULLANILAMAYACAĞI</w:t>
      </w:r>
    </w:p>
    <w:p w:rsidR="00B535B4" w:rsidRPr="006C4C59" w:rsidRDefault="00B535B4" w:rsidP="00B535B4">
      <w:pPr>
        <w:shd w:val="clear" w:color="auto" w:fill="FFFFFF"/>
        <w:spacing w:after="150" w:line="300" w:lineRule="atLeast"/>
        <w:ind w:firstLine="348"/>
        <w:jc w:val="both"/>
        <w:rPr>
          <w:color w:val="000000"/>
        </w:rPr>
      </w:pPr>
      <w:r w:rsidRPr="006C4C59">
        <w:rPr>
          <w:color w:val="000000"/>
        </w:rPr>
        <w:t xml:space="preserve">Kararın </w:t>
      </w:r>
      <w:proofErr w:type="gramStart"/>
      <w:r w:rsidRPr="006C4C59">
        <w:rPr>
          <w:color w:val="000000"/>
        </w:rPr>
        <w:t>şuan</w:t>
      </w:r>
      <w:proofErr w:type="gramEnd"/>
      <w:r w:rsidRPr="006C4C59">
        <w:rPr>
          <w:color w:val="000000"/>
        </w:rPr>
        <w:t xml:space="preserve"> yürürlükteki halinde, Türkiye'de yerleşik gerçek kişilerce, </w:t>
      </w:r>
      <w:r>
        <w:rPr>
          <w:color w:val="000000"/>
          <w:u w:val="single"/>
        </w:rPr>
        <w:t xml:space="preserve">bazı haller </w:t>
      </w:r>
      <w:r w:rsidRPr="006C4C59">
        <w:rPr>
          <w:color w:val="000000"/>
          <w:u w:val="single"/>
        </w:rPr>
        <w:t>dışında</w:t>
      </w:r>
      <w:r w:rsidRPr="006C4C59">
        <w:rPr>
          <w:color w:val="000000"/>
        </w:rPr>
        <w:t>, yurt içinden ve yurt dışından döviz veya dövize endeksli kredi kullanılamayacağı hükmü yer almaktadır. Bu Karar ile söz konusu hüküm gerçek kişilerce hiçbir şekilde yurt içinden veya yurt dışından döviz kredisi kullanılamayacağı yönünde aşağıdaki şekilde değiştirilmiştir.</w:t>
      </w:r>
    </w:p>
    <w:p w:rsidR="00B535B4" w:rsidRPr="006C4C59" w:rsidRDefault="00B535B4" w:rsidP="00B535B4">
      <w:pPr>
        <w:pStyle w:val="ListeParagraf"/>
        <w:numPr>
          <w:ilvl w:val="0"/>
          <w:numId w:val="9"/>
        </w:numPr>
        <w:shd w:val="clear" w:color="auto" w:fill="FFFFFF"/>
        <w:spacing w:after="150" w:line="300" w:lineRule="atLeast"/>
        <w:jc w:val="both"/>
        <w:rPr>
          <w:b/>
          <w:color w:val="000000"/>
        </w:rPr>
      </w:pPr>
      <w:r w:rsidRPr="006C4C59">
        <w:rPr>
          <w:b/>
          <w:i/>
          <w:iCs/>
          <w:color w:val="000000"/>
        </w:rPr>
        <w:t>“(6) Türkiye’de yerleşik gerçek kişilerce yurt dışından döviz kredisi kullanılamaz.</w:t>
      </w:r>
    </w:p>
    <w:p w:rsidR="00B535B4" w:rsidRPr="00CF3771" w:rsidRDefault="00B535B4" w:rsidP="00B535B4">
      <w:pPr>
        <w:pStyle w:val="ListeParagraf"/>
        <w:numPr>
          <w:ilvl w:val="0"/>
          <w:numId w:val="9"/>
        </w:numPr>
        <w:shd w:val="clear" w:color="auto" w:fill="FFFFFF"/>
        <w:spacing w:after="150" w:line="300" w:lineRule="atLeast"/>
        <w:jc w:val="both"/>
        <w:rPr>
          <w:b/>
          <w:color w:val="000000"/>
        </w:rPr>
      </w:pPr>
      <w:r w:rsidRPr="006C4C59">
        <w:rPr>
          <w:b/>
          <w:i/>
          <w:iCs/>
          <w:color w:val="000000"/>
        </w:rPr>
        <w:t>(10) Türkiye’de yerleşik gerçek kişilerce yurt içinden döviz kredisi kullanılamaz.”</w:t>
      </w:r>
    </w:p>
    <w:p w:rsidR="00CF3771" w:rsidRDefault="00CF3771" w:rsidP="00CF3771">
      <w:pPr>
        <w:shd w:val="clear" w:color="auto" w:fill="FFFFFF"/>
        <w:spacing w:after="150" w:line="300" w:lineRule="atLeast"/>
        <w:jc w:val="both"/>
        <w:rPr>
          <w:b/>
          <w:color w:val="000000"/>
        </w:rPr>
      </w:pPr>
    </w:p>
    <w:p w:rsidR="00CF3771" w:rsidRDefault="00CF3771" w:rsidP="00CF3771">
      <w:pPr>
        <w:shd w:val="clear" w:color="auto" w:fill="FFFFFF"/>
        <w:spacing w:after="150" w:line="300" w:lineRule="atLeast"/>
        <w:jc w:val="both"/>
        <w:rPr>
          <w:b/>
          <w:color w:val="000000"/>
        </w:rPr>
      </w:pPr>
    </w:p>
    <w:p w:rsidR="00CF3771" w:rsidRPr="00CF3771" w:rsidRDefault="00CF3771" w:rsidP="00CF3771">
      <w:pPr>
        <w:shd w:val="clear" w:color="auto" w:fill="FFFFFF"/>
        <w:spacing w:after="150" w:line="300" w:lineRule="atLeast"/>
        <w:jc w:val="both"/>
        <w:rPr>
          <w:b/>
          <w:color w:val="000000"/>
        </w:rPr>
      </w:pPr>
    </w:p>
    <w:p w:rsidR="00B535B4" w:rsidRPr="006C4C59" w:rsidRDefault="00B535B4" w:rsidP="00B535B4">
      <w:pPr>
        <w:shd w:val="clear" w:color="auto" w:fill="FFFFFF"/>
        <w:spacing w:after="150" w:line="300" w:lineRule="atLeast"/>
        <w:jc w:val="both"/>
      </w:pPr>
      <w:r>
        <w:rPr>
          <w:b/>
          <w:bCs/>
        </w:rPr>
        <w:t>Ç</w:t>
      </w:r>
      <w:r w:rsidRPr="006C4C59">
        <w:rPr>
          <w:b/>
          <w:bCs/>
        </w:rPr>
        <w:t>) TÜRKİYE’DE YERLEŞİK KİŞİLERCE YURT DIŞINDAN DÖVİZE ENDEKSLİ KREDİ KULLANILAMAYACAĞI</w:t>
      </w:r>
    </w:p>
    <w:p w:rsidR="00B535B4" w:rsidRPr="006C4C59" w:rsidRDefault="00B535B4" w:rsidP="00B535B4">
      <w:pPr>
        <w:shd w:val="clear" w:color="auto" w:fill="FFFFFF"/>
        <w:spacing w:after="150" w:line="300" w:lineRule="atLeast"/>
        <w:ind w:firstLine="360"/>
        <w:jc w:val="both"/>
        <w:rPr>
          <w:color w:val="000000"/>
        </w:rPr>
      </w:pPr>
      <w:r w:rsidRPr="006C4C59">
        <w:rPr>
          <w:color w:val="000000"/>
        </w:rPr>
        <w:t xml:space="preserve">Kararın </w:t>
      </w:r>
      <w:proofErr w:type="gramStart"/>
      <w:r w:rsidRPr="006C4C59">
        <w:rPr>
          <w:color w:val="000000"/>
        </w:rPr>
        <w:t>şuan</w:t>
      </w:r>
      <w:proofErr w:type="gramEnd"/>
      <w:r w:rsidRPr="006C4C59">
        <w:rPr>
          <w:color w:val="000000"/>
        </w:rPr>
        <w:t xml:space="preserve"> yürürlükteki halinde; bankalar, Türkiye'de yerleşik kişilere ticari veya mesleki amaçla dövize endeksli kredi kullandırabilmektedir. Ayrıca ticari veya mesleki amaç taşıyan finansal kiralamaya ilişkin bedeller döviz üzerinden ya da dövize endeksli olarak belirlenebilmektedir.  </w:t>
      </w:r>
    </w:p>
    <w:p w:rsidR="00B535B4" w:rsidRPr="006C4C59" w:rsidRDefault="00B535B4" w:rsidP="00B535B4">
      <w:pPr>
        <w:shd w:val="clear" w:color="auto" w:fill="FFFFFF"/>
        <w:spacing w:after="150" w:line="300" w:lineRule="atLeast"/>
        <w:ind w:firstLine="360"/>
        <w:jc w:val="both"/>
        <w:rPr>
          <w:color w:val="000000"/>
        </w:rPr>
      </w:pPr>
      <w:r w:rsidRPr="006C4C59">
        <w:rPr>
          <w:color w:val="000000"/>
        </w:rPr>
        <w:t>Bu Karar ile söz konusu hüküm Türkiye’de yerleşik kişilerce yurt dışından dövize endeksli kredi kullanılamayacağı yönünde aşağıdaki değiştirilmiştir.</w:t>
      </w:r>
    </w:p>
    <w:p w:rsidR="00B535B4" w:rsidRPr="006C4C59" w:rsidRDefault="00B535B4" w:rsidP="00B535B4">
      <w:pPr>
        <w:pStyle w:val="ListeParagraf"/>
        <w:numPr>
          <w:ilvl w:val="0"/>
          <w:numId w:val="9"/>
        </w:numPr>
        <w:shd w:val="clear" w:color="auto" w:fill="FFFFFF"/>
        <w:spacing w:after="150" w:line="300" w:lineRule="atLeast"/>
        <w:jc w:val="both"/>
        <w:rPr>
          <w:b/>
          <w:color w:val="000000"/>
        </w:rPr>
      </w:pPr>
      <w:r w:rsidRPr="006C4C59">
        <w:rPr>
          <w:b/>
          <w:i/>
          <w:iCs/>
          <w:color w:val="000000"/>
        </w:rPr>
        <w:t>“(7) Türkiye’de yerleşik kişilerce yurt dışından dövize endeksli kredi kullanılamaz.</w:t>
      </w:r>
    </w:p>
    <w:p w:rsidR="00B535B4" w:rsidRPr="00BB056E" w:rsidRDefault="00B535B4" w:rsidP="00B535B4">
      <w:pPr>
        <w:pStyle w:val="ListeParagraf"/>
        <w:numPr>
          <w:ilvl w:val="0"/>
          <w:numId w:val="9"/>
        </w:numPr>
        <w:shd w:val="clear" w:color="auto" w:fill="FFFFFF"/>
        <w:spacing w:after="150" w:line="300" w:lineRule="atLeast"/>
        <w:jc w:val="both"/>
        <w:rPr>
          <w:b/>
          <w:color w:val="000000"/>
        </w:rPr>
      </w:pPr>
      <w:r w:rsidRPr="006C4C59">
        <w:rPr>
          <w:b/>
          <w:color w:val="000000"/>
        </w:rPr>
        <w:t> </w:t>
      </w:r>
      <w:r w:rsidRPr="006C4C59">
        <w:rPr>
          <w:b/>
          <w:i/>
          <w:iCs/>
          <w:color w:val="000000"/>
        </w:rPr>
        <w:t>(11) Türkiye’de yerleşik kişilere dövize endeksli kredi kullandırılamaz.”</w:t>
      </w:r>
    </w:p>
    <w:p w:rsidR="00B535B4" w:rsidRPr="00BB056E" w:rsidRDefault="00B535B4" w:rsidP="00B535B4">
      <w:pPr>
        <w:shd w:val="clear" w:color="auto" w:fill="FFFFFF"/>
        <w:spacing w:after="150" w:line="300" w:lineRule="atLeast"/>
        <w:jc w:val="both"/>
      </w:pPr>
      <w:r w:rsidRPr="00BB056E">
        <w:rPr>
          <w:b/>
          <w:bCs/>
        </w:rPr>
        <w:t xml:space="preserve">D) AÇIK BULANAN VE KREDİ BAKİYESİ </w:t>
      </w:r>
      <w:r>
        <w:rPr>
          <w:b/>
          <w:bCs/>
        </w:rPr>
        <w:t xml:space="preserve">15 MİLYON ABD DOLARININ ALTINDA </w:t>
      </w:r>
      <w:r w:rsidRPr="00BB056E">
        <w:rPr>
          <w:b/>
          <w:bCs/>
        </w:rPr>
        <w:t>OLAN KREDİLERİN DÖVİZ KREDİSİ OLARAK YENİLENEMEYECEĞİ</w:t>
      </w:r>
    </w:p>
    <w:p w:rsidR="00B535B4" w:rsidRPr="00BB056E" w:rsidRDefault="00B535B4" w:rsidP="00B535B4">
      <w:pPr>
        <w:shd w:val="clear" w:color="auto" w:fill="FFFFFF"/>
        <w:spacing w:after="150" w:line="300" w:lineRule="atLeast"/>
        <w:ind w:firstLine="360"/>
        <w:jc w:val="both"/>
        <w:rPr>
          <w:color w:val="000000"/>
        </w:rPr>
      </w:pPr>
      <w:r w:rsidRPr="00BB056E">
        <w:rPr>
          <w:color w:val="000000"/>
        </w:rPr>
        <w:t>Karara göre, 02/05/2018 tarihi itibariyle açık bulunan dövize endeksli krediler, hiçbir şekilde dövize endeksli kredi olarak veya döviz kredisi olarak yenilenmeyecektir (</w:t>
      </w:r>
      <w:proofErr w:type="gramStart"/>
      <w:r w:rsidRPr="00BB056E">
        <w:rPr>
          <w:color w:val="000000"/>
        </w:rPr>
        <w:t xml:space="preserve">17 </w:t>
      </w:r>
      <w:proofErr w:type="spellStart"/>
      <w:r w:rsidRPr="00BB056E">
        <w:rPr>
          <w:color w:val="000000"/>
        </w:rPr>
        <w:t>nci</w:t>
      </w:r>
      <w:proofErr w:type="spellEnd"/>
      <w:proofErr w:type="gramEnd"/>
      <w:r w:rsidRPr="00BB056E">
        <w:rPr>
          <w:color w:val="000000"/>
        </w:rPr>
        <w:t xml:space="preserve"> maddenin üçüncü, dördüncü ve beşinci fıkraları ile 17/A maddesinin üçüncü, dördüncü ve beşinci fıkraları kapsamına girenler hariç olmak üzere).</w:t>
      </w:r>
    </w:p>
    <w:p w:rsidR="00B535B4" w:rsidRDefault="00B535B4" w:rsidP="00B535B4">
      <w:pPr>
        <w:shd w:val="clear" w:color="auto" w:fill="FFFFFF"/>
        <w:spacing w:after="150" w:line="300" w:lineRule="atLeast"/>
        <w:ind w:firstLine="360"/>
        <w:jc w:val="both"/>
        <w:rPr>
          <w:color w:val="000000"/>
        </w:rPr>
      </w:pPr>
      <w:r w:rsidRPr="00BB056E">
        <w:rPr>
          <w:color w:val="000000"/>
        </w:rPr>
        <w:t>02/05/2018 tarihinden önce kullanılmış olan döviz kredileri ve döviz endeksli krediler kredi bakiyesi hesaplamasına dâhil edilecektir. </w:t>
      </w:r>
    </w:p>
    <w:p w:rsidR="00B535B4" w:rsidRDefault="00B535B4" w:rsidP="00B535B4">
      <w:pPr>
        <w:shd w:val="clear" w:color="auto" w:fill="FFFFFF"/>
        <w:spacing w:after="150" w:line="300" w:lineRule="atLeast"/>
        <w:ind w:firstLine="360"/>
        <w:jc w:val="both"/>
        <w:rPr>
          <w:color w:val="000000"/>
        </w:rPr>
      </w:pPr>
    </w:p>
    <w:p w:rsidR="00B535B4" w:rsidRPr="00DE2815" w:rsidRDefault="00B535B4" w:rsidP="00B535B4">
      <w:pPr>
        <w:shd w:val="clear" w:color="auto" w:fill="FFFFFF"/>
        <w:spacing w:after="150" w:line="300" w:lineRule="atLeast"/>
        <w:ind w:firstLine="360"/>
        <w:jc w:val="both"/>
        <w:rPr>
          <w:b/>
          <w:color w:val="000000"/>
        </w:rPr>
      </w:pPr>
      <w:r w:rsidRPr="00BB056E">
        <w:rPr>
          <w:b/>
          <w:color w:val="000000"/>
        </w:rPr>
        <w:t>Saygılarımızla</w:t>
      </w:r>
      <w:r>
        <w:rPr>
          <w:b/>
          <w:color w:val="000000"/>
        </w:rPr>
        <w:t>…</w:t>
      </w:r>
    </w:p>
    <w:p w:rsidR="00B535B4" w:rsidRDefault="00B535B4" w:rsidP="00B535B4">
      <w:pPr>
        <w:ind w:right="-284"/>
      </w:pPr>
    </w:p>
    <w:p w:rsidR="003F571F" w:rsidRDefault="003F571F" w:rsidP="0033210E">
      <w:pPr>
        <w:rPr>
          <w:rFonts w:asciiTheme="majorHAnsi" w:hAnsiTheme="majorHAnsi" w:cs="Arial"/>
          <w:b/>
          <w:bCs/>
          <w:szCs w:val="22"/>
        </w:rPr>
      </w:pPr>
    </w:p>
    <w:sectPr w:rsidR="003F571F"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6FB" w:rsidRDefault="00C156FB">
      <w:r>
        <w:separator/>
      </w:r>
    </w:p>
  </w:endnote>
  <w:endnote w:type="continuationSeparator" w:id="0">
    <w:p w:rsidR="00C156FB" w:rsidRDefault="00C1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6FB" w:rsidRDefault="00C156FB">
      <w:r>
        <w:separator/>
      </w:r>
    </w:p>
  </w:footnote>
  <w:footnote w:type="continuationSeparator" w:id="0">
    <w:p w:rsidR="00C156FB" w:rsidRDefault="00C1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7891677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5F7933"/>
    <w:multiLevelType w:val="multilevel"/>
    <w:tmpl w:val="DF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422F4"/>
    <w:multiLevelType w:val="multilevel"/>
    <w:tmpl w:val="2BE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8"/>
  </w:num>
  <w:num w:numId="3">
    <w:abstractNumId w:val="6"/>
  </w:num>
  <w:num w:numId="4">
    <w:abstractNumId w:val="3"/>
  </w:num>
  <w:num w:numId="5">
    <w:abstractNumId w:val="1"/>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019E"/>
    <w:rsid w:val="00052D8D"/>
    <w:rsid w:val="0005651A"/>
    <w:rsid w:val="00063191"/>
    <w:rsid w:val="00064A41"/>
    <w:rsid w:val="00065C9C"/>
    <w:rsid w:val="00066F88"/>
    <w:rsid w:val="000671A6"/>
    <w:rsid w:val="00070251"/>
    <w:rsid w:val="00072512"/>
    <w:rsid w:val="00072B68"/>
    <w:rsid w:val="00075BA9"/>
    <w:rsid w:val="00075EB1"/>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5B4"/>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56FB"/>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3771"/>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A6C33"/>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semiHidden/>
    <w:unhideWhenUsed/>
    <w:rsid w:val="00B535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C125-A4A2-4CC7-ADF0-1CA9B17B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1004</Words>
  <Characters>5723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6714</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13</cp:revision>
  <cp:lastPrinted>2016-12-05T12:29:00Z</cp:lastPrinted>
  <dcterms:created xsi:type="dcterms:W3CDTF">2017-04-13T14:12:00Z</dcterms:created>
  <dcterms:modified xsi:type="dcterms:W3CDTF">2018-01-31T12:13:00Z</dcterms:modified>
</cp:coreProperties>
</file>