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E76B54" w:rsidTr="00E76B54">
        <w:tc>
          <w:tcPr>
            <w:tcW w:w="1271" w:type="dxa"/>
          </w:tcPr>
          <w:p w:rsidR="00E76B54" w:rsidRDefault="0029734E" w:rsidP="00E76B54">
            <w:r>
              <w:t>Sayı</w:t>
            </w:r>
          </w:p>
        </w:tc>
        <w:tc>
          <w:tcPr>
            <w:tcW w:w="8925" w:type="dxa"/>
          </w:tcPr>
          <w:p w:rsidR="00E76B54" w:rsidRPr="004616D3" w:rsidRDefault="0029734E" w:rsidP="00E76B54">
            <w:pPr>
              <w:rPr>
                <w:b/>
              </w:rPr>
            </w:pPr>
            <w:r w:rsidRPr="004616D3">
              <w:rPr>
                <w:b/>
                <w:color w:val="FF0000"/>
              </w:rPr>
              <w:t>2018/06</w:t>
            </w:r>
          </w:p>
        </w:tc>
      </w:tr>
      <w:tr w:rsidR="00E76B54" w:rsidRPr="008E1DEB" w:rsidTr="00E76B54">
        <w:tc>
          <w:tcPr>
            <w:tcW w:w="1271" w:type="dxa"/>
          </w:tcPr>
          <w:p w:rsidR="00E76B54" w:rsidRPr="008E1DEB" w:rsidRDefault="0029734E" w:rsidP="00E76B54">
            <w:pPr>
              <w:rPr>
                <w:sz w:val="22"/>
                <w:szCs w:val="22"/>
              </w:rPr>
            </w:pPr>
            <w:r w:rsidRPr="008E1DEB">
              <w:rPr>
                <w:sz w:val="22"/>
                <w:szCs w:val="22"/>
              </w:rPr>
              <w:t>Konu</w:t>
            </w:r>
          </w:p>
        </w:tc>
        <w:tc>
          <w:tcPr>
            <w:tcW w:w="8925" w:type="dxa"/>
          </w:tcPr>
          <w:p w:rsidR="00E76B54" w:rsidRPr="008E1DEB" w:rsidRDefault="0029734E" w:rsidP="00E76B54">
            <w:pPr>
              <w:rPr>
                <w:sz w:val="22"/>
                <w:szCs w:val="22"/>
              </w:rPr>
            </w:pPr>
            <w:r w:rsidRPr="008E1DEB">
              <w:rPr>
                <w:color w:val="333333"/>
                <w:sz w:val="22"/>
                <w:szCs w:val="22"/>
              </w:rPr>
              <w:t>Vergiye uyumlu mükelleflerin borçlarının tecili hakkındaki ekli Kararın yürürlüğe konulması;</w:t>
            </w:r>
          </w:p>
        </w:tc>
      </w:tr>
    </w:tbl>
    <w:p w:rsidR="0029734E" w:rsidRPr="008E1DEB" w:rsidRDefault="0029734E" w:rsidP="00406DC3">
      <w:pPr>
        <w:rPr>
          <w:sz w:val="22"/>
          <w:szCs w:val="22"/>
        </w:rPr>
      </w:pPr>
    </w:p>
    <w:p w:rsidR="0029734E" w:rsidRPr="008E1DEB" w:rsidRDefault="0029734E" w:rsidP="0029734E">
      <w:pPr>
        <w:rPr>
          <w:sz w:val="22"/>
          <w:szCs w:val="22"/>
        </w:rPr>
      </w:pPr>
    </w:p>
    <w:p w:rsidR="0029734E" w:rsidRPr="008E1DEB" w:rsidRDefault="0029734E" w:rsidP="0029734E">
      <w:pPr>
        <w:rPr>
          <w:sz w:val="22"/>
          <w:szCs w:val="22"/>
        </w:rPr>
      </w:pPr>
    </w:p>
    <w:p w:rsidR="0029734E" w:rsidRPr="00864F2E" w:rsidRDefault="0029734E" w:rsidP="0029734E">
      <w:pPr>
        <w:spacing w:after="150"/>
        <w:jc w:val="center"/>
        <w:rPr>
          <w:color w:val="333333"/>
          <w:sz w:val="22"/>
          <w:szCs w:val="22"/>
        </w:rPr>
      </w:pPr>
      <w:r w:rsidRPr="00864F2E">
        <w:rPr>
          <w:b/>
          <w:bCs/>
          <w:color w:val="333333"/>
          <w:sz w:val="22"/>
          <w:szCs w:val="22"/>
        </w:rPr>
        <w:t>Vergiye Uyumlu Mükelleflerin Borçlarının Tecili Hakkında Karar BKK 2018/11284</w:t>
      </w:r>
    </w:p>
    <w:p w:rsidR="0029734E" w:rsidRPr="00864F2E" w:rsidRDefault="0029734E" w:rsidP="0029734E">
      <w:pPr>
        <w:spacing w:after="150"/>
        <w:rPr>
          <w:color w:val="333333"/>
          <w:sz w:val="22"/>
          <w:szCs w:val="22"/>
        </w:rPr>
      </w:pPr>
      <w:r w:rsidRPr="00864F2E">
        <w:rPr>
          <w:b/>
          <w:bCs/>
          <w:color w:val="333333"/>
          <w:sz w:val="22"/>
          <w:szCs w:val="22"/>
        </w:rPr>
        <w:t>Vergiye Uyumlu Mükellef Borç Tecili</w:t>
      </w:r>
    </w:p>
    <w:p w:rsidR="0029734E" w:rsidRPr="00864F2E" w:rsidRDefault="0029734E" w:rsidP="0029734E">
      <w:pPr>
        <w:spacing w:after="150"/>
        <w:rPr>
          <w:color w:val="333333"/>
          <w:sz w:val="22"/>
          <w:szCs w:val="22"/>
        </w:rPr>
      </w:pPr>
      <w:r w:rsidRPr="00864F2E">
        <w:rPr>
          <w:color w:val="333333"/>
          <w:sz w:val="22"/>
          <w:szCs w:val="22"/>
        </w:rPr>
        <w:t>24 Şubat 2018 Tarihli Resmi Gazete</w:t>
      </w:r>
    </w:p>
    <w:p w:rsidR="0029734E" w:rsidRPr="00864F2E" w:rsidRDefault="0029734E" w:rsidP="0029734E">
      <w:pPr>
        <w:spacing w:after="150"/>
        <w:rPr>
          <w:b/>
          <w:bCs/>
          <w:color w:val="333333"/>
          <w:sz w:val="22"/>
          <w:szCs w:val="22"/>
        </w:rPr>
      </w:pPr>
      <w:r w:rsidRPr="00864F2E">
        <w:rPr>
          <w:color w:val="333333"/>
          <w:sz w:val="22"/>
          <w:szCs w:val="22"/>
        </w:rPr>
        <w:t>Sayı: 30342</w:t>
      </w:r>
      <w:r w:rsidRPr="00864F2E">
        <w:rPr>
          <w:b/>
          <w:bCs/>
          <w:color w:val="333333"/>
          <w:sz w:val="22"/>
          <w:szCs w:val="22"/>
        </w:rPr>
        <w:t> </w:t>
      </w:r>
    </w:p>
    <w:p w:rsidR="00864F2E" w:rsidRDefault="00864F2E" w:rsidP="00864F2E">
      <w:pPr>
        <w:jc w:val="both"/>
        <w:rPr>
          <w:sz w:val="22"/>
          <w:szCs w:val="22"/>
        </w:rPr>
      </w:pPr>
      <w:r w:rsidRPr="00864F2E">
        <w:rPr>
          <w:b/>
          <w:bCs/>
          <w:color w:val="333333"/>
          <w:sz w:val="22"/>
          <w:szCs w:val="22"/>
        </w:rPr>
        <w:t xml:space="preserve">Konu: </w:t>
      </w:r>
      <w:r w:rsidRPr="00864F2E">
        <w:rPr>
          <w:sz w:val="22"/>
          <w:szCs w:val="22"/>
        </w:rPr>
        <w:t>Maliye Bakanlığına bağlı tahsil dairelerince takip edilen ve 213 sayılı Kanun kapsamına giren vergi, resim, harç ve cezalar ile bu alacaklara</w:t>
      </w:r>
      <w:r>
        <w:rPr>
          <w:sz w:val="22"/>
          <w:szCs w:val="22"/>
        </w:rPr>
        <w:t xml:space="preserve"> bağlı gecikme faizi borcu bulunan zor durumdaki mükelleflerin</w:t>
      </w:r>
      <w:r w:rsidRPr="00864F2E">
        <w:rPr>
          <w:sz w:val="22"/>
          <w:szCs w:val="22"/>
        </w:rPr>
        <w:t xml:space="preserve">, borçlu tarafından yazı ile istenmiş olmak ve maddedeki </w:t>
      </w:r>
      <w:proofErr w:type="gramStart"/>
      <w:r w:rsidRPr="00864F2E">
        <w:rPr>
          <w:sz w:val="22"/>
          <w:szCs w:val="22"/>
        </w:rPr>
        <w:t>diğer  şartları</w:t>
      </w:r>
      <w:proofErr w:type="gramEnd"/>
      <w:r w:rsidRPr="00864F2E">
        <w:rPr>
          <w:sz w:val="22"/>
          <w:szCs w:val="22"/>
        </w:rPr>
        <w:t xml:space="preserve"> taşımak koşuluyla vadesi bir yılı geçmemiş alacaklar, Maliye Bakanınca 36 ayı geçmemek üzere faiz ve teminat alınarak tecil olunabilecektir. </w:t>
      </w:r>
    </w:p>
    <w:p w:rsidR="004616D3" w:rsidRPr="00864F2E" w:rsidRDefault="004616D3" w:rsidP="00864F2E">
      <w:pPr>
        <w:jc w:val="both"/>
        <w:rPr>
          <w:color w:val="333333"/>
          <w:sz w:val="22"/>
          <w:szCs w:val="22"/>
        </w:rPr>
      </w:pPr>
      <w:bookmarkStart w:id="0" w:name="_GoBack"/>
      <w:bookmarkEnd w:id="0"/>
    </w:p>
    <w:p w:rsidR="0029734E" w:rsidRPr="00864F2E" w:rsidRDefault="0029734E" w:rsidP="00864F2E">
      <w:pPr>
        <w:spacing w:after="150"/>
        <w:jc w:val="both"/>
        <w:rPr>
          <w:color w:val="333333"/>
          <w:sz w:val="22"/>
          <w:szCs w:val="22"/>
        </w:rPr>
      </w:pPr>
      <w:r w:rsidRPr="00864F2E">
        <w:rPr>
          <w:b/>
          <w:bCs/>
          <w:color w:val="333333"/>
          <w:sz w:val="22"/>
          <w:szCs w:val="22"/>
        </w:rPr>
        <w:t>Çok zor durum halinin tespitinde kullanılacak kriterler</w:t>
      </w:r>
    </w:p>
    <w:p w:rsidR="0029734E" w:rsidRPr="00864F2E" w:rsidRDefault="0029734E" w:rsidP="00864F2E">
      <w:pPr>
        <w:spacing w:after="150"/>
        <w:jc w:val="both"/>
        <w:rPr>
          <w:color w:val="333333"/>
          <w:sz w:val="22"/>
          <w:szCs w:val="22"/>
        </w:rPr>
      </w:pPr>
      <w:r w:rsidRPr="00864F2E">
        <w:rPr>
          <w:color w:val="333333"/>
          <w:sz w:val="22"/>
          <w:szCs w:val="22"/>
        </w:rPr>
        <w:t>MADDE 1-(1) 21/7/1953 tarihli ve 6183 sayılı Amme Alacaklarının Tahsil Usulü Hakkında Kanunun 48/A maddesinin Bakanlar Kuruluna verdiği yetkiye istinaden, maddeden yararlanacak ticari, zirai ve mesleki faaliyeti nedeniyle yıllık gelir veya kurumlar vergisi mükellefi olan borçlular; bilanço esasına göre defter tutanlar, işletme/zirai işletme hesabı esasına göre defter tutanlar, ticari kazancı basit usulde tespit edilenler ve serbest meslek kazanç defteri tutanlar şeklinde gruplandırılmak suretiyle çok zor durum halinin tespitinde kullanılacak kriterler aşağıda belirtilmiştir.</w:t>
      </w:r>
    </w:p>
    <w:p w:rsidR="0029734E" w:rsidRPr="00925F74" w:rsidRDefault="0029734E" w:rsidP="00925F74">
      <w:pPr>
        <w:pStyle w:val="ListeParagraf"/>
        <w:numPr>
          <w:ilvl w:val="0"/>
          <w:numId w:val="10"/>
        </w:numPr>
        <w:jc w:val="both"/>
        <w:rPr>
          <w:color w:val="333333"/>
          <w:sz w:val="22"/>
          <w:szCs w:val="22"/>
        </w:rPr>
      </w:pPr>
      <w:r w:rsidRPr="00864F2E">
        <w:rPr>
          <w:color w:val="333333"/>
          <w:sz w:val="22"/>
          <w:szCs w:val="22"/>
        </w:rPr>
        <w:t>Bilanço esasına göre defter tutan yıllık gelir veya kurumlar vergisi mükelleflerinin çok zor durum halinin tespitinde aşağıdaki</w:t>
      </w:r>
      <w:r w:rsidRPr="00925F74">
        <w:rPr>
          <w:color w:val="333333"/>
          <w:sz w:val="22"/>
          <w:szCs w:val="22"/>
        </w:rPr>
        <w:t xml:space="preserve"> mali göstergeler kullanılır.      </w:t>
      </w:r>
      <w:r w:rsidR="004A7681" w:rsidRPr="00925F74">
        <w:rPr>
          <w:color w:val="333333"/>
          <w:sz w:val="22"/>
          <w:szCs w:val="22"/>
        </w:rPr>
        <w:t xml:space="preserve">   </w:t>
      </w:r>
    </w:p>
    <w:p w:rsidR="004A7681" w:rsidRPr="00925F74" w:rsidRDefault="004A7681" w:rsidP="00925F74">
      <w:pPr>
        <w:jc w:val="both"/>
        <w:rPr>
          <w:color w:val="333333"/>
          <w:sz w:val="22"/>
          <w:szCs w:val="22"/>
        </w:rPr>
      </w:pPr>
    </w:p>
    <w:p w:rsidR="004A7681" w:rsidRPr="00925F74" w:rsidRDefault="004A7681" w:rsidP="00925F74">
      <w:pPr>
        <w:jc w:val="both"/>
        <w:rPr>
          <w:color w:val="3A3C41"/>
          <w:sz w:val="22"/>
          <w:szCs w:val="22"/>
        </w:rPr>
      </w:pPr>
      <w:r w:rsidRPr="00925F74">
        <w:rPr>
          <w:b/>
          <w:color w:val="3A3C41"/>
          <w:sz w:val="22"/>
          <w:szCs w:val="22"/>
        </w:rPr>
        <w:t xml:space="preserve">Nakit </w:t>
      </w:r>
      <w:proofErr w:type="gramStart"/>
      <w:r w:rsidRPr="00925F74">
        <w:rPr>
          <w:b/>
          <w:color w:val="3A3C41"/>
          <w:sz w:val="22"/>
          <w:szCs w:val="22"/>
        </w:rPr>
        <w:t>Oranı :</w:t>
      </w:r>
      <w:proofErr w:type="gramEnd"/>
      <w:r w:rsidRPr="00925F74">
        <w:rPr>
          <w:color w:val="3A3C41"/>
          <w:sz w:val="22"/>
          <w:szCs w:val="22"/>
        </w:rPr>
        <w:t xml:space="preserve"> Hazır Değerler + Menkul Kıymetler / Kısa Vadeli Yabancı Kaynaklar   </w:t>
      </w:r>
    </w:p>
    <w:p w:rsidR="004A7681" w:rsidRPr="00925F74" w:rsidRDefault="004A7681" w:rsidP="00925F74">
      <w:pPr>
        <w:jc w:val="both"/>
        <w:rPr>
          <w:color w:val="3A3C41"/>
          <w:sz w:val="22"/>
          <w:szCs w:val="22"/>
        </w:rPr>
      </w:pPr>
    </w:p>
    <w:p w:rsidR="004A7681" w:rsidRPr="00925F74" w:rsidRDefault="004A7681" w:rsidP="00925F74">
      <w:pPr>
        <w:jc w:val="both"/>
        <w:rPr>
          <w:color w:val="3A3C41"/>
          <w:sz w:val="22"/>
          <w:szCs w:val="22"/>
        </w:rPr>
      </w:pPr>
      <w:r w:rsidRPr="00925F74">
        <w:rPr>
          <w:b/>
          <w:color w:val="3A3C41"/>
          <w:sz w:val="22"/>
          <w:szCs w:val="22"/>
        </w:rPr>
        <w:t xml:space="preserve">Likidite </w:t>
      </w:r>
      <w:proofErr w:type="gramStart"/>
      <w:r w:rsidRPr="00925F74">
        <w:rPr>
          <w:b/>
          <w:color w:val="3A3C41"/>
          <w:sz w:val="22"/>
          <w:szCs w:val="22"/>
        </w:rPr>
        <w:t>Oranı :</w:t>
      </w:r>
      <w:proofErr w:type="gramEnd"/>
      <w:r w:rsidRPr="00925F74">
        <w:rPr>
          <w:b/>
          <w:color w:val="3A3C41"/>
          <w:sz w:val="22"/>
          <w:szCs w:val="22"/>
        </w:rPr>
        <w:t xml:space="preserve"> </w:t>
      </w:r>
      <w:r w:rsidRPr="00925F74">
        <w:rPr>
          <w:color w:val="3A3C41"/>
          <w:sz w:val="22"/>
          <w:szCs w:val="22"/>
        </w:rPr>
        <w:t xml:space="preserve">Dönen Varlıklar – Stoklar / Kısa Vadeli Yabancı Kaynaklar   </w:t>
      </w:r>
    </w:p>
    <w:p w:rsidR="004A7681" w:rsidRPr="00925F74" w:rsidRDefault="004A7681" w:rsidP="00925F74">
      <w:pPr>
        <w:jc w:val="both"/>
        <w:rPr>
          <w:color w:val="3A3C41"/>
          <w:sz w:val="22"/>
          <w:szCs w:val="22"/>
        </w:rPr>
      </w:pPr>
    </w:p>
    <w:p w:rsidR="004A7681" w:rsidRPr="00925F74" w:rsidRDefault="004A7681" w:rsidP="00925F74">
      <w:pPr>
        <w:jc w:val="both"/>
        <w:rPr>
          <w:color w:val="3A3C41"/>
          <w:sz w:val="22"/>
          <w:szCs w:val="22"/>
        </w:rPr>
      </w:pPr>
      <w:r w:rsidRPr="00925F74">
        <w:rPr>
          <w:b/>
          <w:color w:val="3A3C41"/>
          <w:sz w:val="22"/>
          <w:szCs w:val="22"/>
        </w:rPr>
        <w:t>Kaldıraç Oranı:</w:t>
      </w:r>
      <w:r w:rsidRPr="00925F74">
        <w:rPr>
          <w:color w:val="3A3C41"/>
          <w:sz w:val="22"/>
          <w:szCs w:val="22"/>
        </w:rPr>
        <w:t xml:space="preserve">  Kısa Vadeli Yabancı Kaynaklar + Uzun Vadeli Yabancı Kaynaklar / Toplam Varlıklar</w:t>
      </w:r>
    </w:p>
    <w:p w:rsidR="004A7681" w:rsidRPr="00925F74" w:rsidRDefault="004A7681" w:rsidP="00925F74">
      <w:pPr>
        <w:jc w:val="both"/>
        <w:rPr>
          <w:color w:val="333333"/>
          <w:sz w:val="22"/>
          <w:szCs w:val="22"/>
        </w:rPr>
      </w:pPr>
    </w:p>
    <w:p w:rsidR="0029734E" w:rsidRPr="00925F74" w:rsidRDefault="0029734E" w:rsidP="00925F74">
      <w:pPr>
        <w:spacing w:after="150"/>
        <w:jc w:val="both"/>
        <w:rPr>
          <w:color w:val="333333"/>
          <w:sz w:val="22"/>
          <w:szCs w:val="22"/>
        </w:rPr>
      </w:pPr>
      <w:r w:rsidRPr="0029734E">
        <w:rPr>
          <w:color w:val="333333"/>
          <w:sz w:val="22"/>
          <w:szCs w:val="22"/>
        </w:rPr>
        <w:t xml:space="preserve">b) </w:t>
      </w:r>
      <w:r w:rsidR="00925F74" w:rsidRPr="00925F74">
        <w:rPr>
          <w:color w:val="333333"/>
          <w:sz w:val="22"/>
          <w:szCs w:val="22"/>
        </w:rPr>
        <w:t xml:space="preserve">  </w:t>
      </w:r>
      <w:r w:rsidRPr="0029734E">
        <w:rPr>
          <w:color w:val="333333"/>
          <w:sz w:val="22"/>
          <w:szCs w:val="22"/>
        </w:rPr>
        <w:t>İşletme/zirai işletme hesabı esasına göre defter tutan, ticari kazancı basit usulde tespit edilen ve serbest meslek kazanç defteri tutan mükelleflerin çok zor durum halinin tespitinde aşağıdaki mali göstergeler kullanılır.</w:t>
      </w:r>
      <w:r w:rsidR="004A7681" w:rsidRPr="00925F74">
        <w:rPr>
          <w:color w:val="333333"/>
          <w:sz w:val="22"/>
          <w:szCs w:val="22"/>
        </w:rPr>
        <w:t xml:space="preserve">   </w:t>
      </w:r>
    </w:p>
    <w:p w:rsidR="004A7681" w:rsidRPr="00925F74" w:rsidRDefault="004A7681" w:rsidP="00925F74">
      <w:pPr>
        <w:jc w:val="both"/>
        <w:rPr>
          <w:color w:val="3A3C41"/>
          <w:sz w:val="22"/>
          <w:szCs w:val="22"/>
        </w:rPr>
      </w:pPr>
      <w:r w:rsidRPr="00925F74">
        <w:rPr>
          <w:b/>
          <w:color w:val="3A3C41"/>
          <w:sz w:val="22"/>
          <w:szCs w:val="22"/>
        </w:rPr>
        <w:t xml:space="preserve">Nakit </w:t>
      </w:r>
      <w:proofErr w:type="gramStart"/>
      <w:r w:rsidRPr="00925F74">
        <w:rPr>
          <w:b/>
          <w:color w:val="3A3C41"/>
          <w:sz w:val="22"/>
          <w:szCs w:val="22"/>
        </w:rPr>
        <w:t>Oranı :</w:t>
      </w:r>
      <w:proofErr w:type="gramEnd"/>
      <w:r w:rsidRPr="00925F74">
        <w:rPr>
          <w:color w:val="3A3C41"/>
          <w:sz w:val="22"/>
          <w:szCs w:val="22"/>
        </w:rPr>
        <w:t xml:space="preserve"> Kasa + Banka / Kısa Vadeli Borçlar   </w:t>
      </w:r>
    </w:p>
    <w:p w:rsidR="004A7681" w:rsidRPr="00925F74" w:rsidRDefault="004A7681" w:rsidP="00925F74">
      <w:pPr>
        <w:jc w:val="both"/>
        <w:rPr>
          <w:color w:val="3A3C41"/>
          <w:sz w:val="22"/>
          <w:szCs w:val="22"/>
        </w:rPr>
      </w:pPr>
    </w:p>
    <w:p w:rsidR="004A7681" w:rsidRPr="00925F74" w:rsidRDefault="004A7681" w:rsidP="00925F74">
      <w:pPr>
        <w:jc w:val="both"/>
        <w:rPr>
          <w:color w:val="3A3C41"/>
          <w:sz w:val="22"/>
          <w:szCs w:val="22"/>
        </w:rPr>
      </w:pPr>
      <w:r w:rsidRPr="00925F74">
        <w:rPr>
          <w:b/>
          <w:color w:val="3A3C41"/>
          <w:sz w:val="22"/>
          <w:szCs w:val="22"/>
        </w:rPr>
        <w:t xml:space="preserve">Likidite </w:t>
      </w:r>
      <w:proofErr w:type="gramStart"/>
      <w:r w:rsidRPr="00925F74">
        <w:rPr>
          <w:b/>
          <w:color w:val="3A3C41"/>
          <w:sz w:val="22"/>
          <w:szCs w:val="22"/>
        </w:rPr>
        <w:t>Oranı</w:t>
      </w:r>
      <w:r w:rsidR="00BA5AC2" w:rsidRPr="00925F74">
        <w:rPr>
          <w:b/>
          <w:color w:val="3A3C41"/>
          <w:sz w:val="22"/>
          <w:szCs w:val="22"/>
        </w:rPr>
        <w:t xml:space="preserve"> :</w:t>
      </w:r>
      <w:proofErr w:type="gramEnd"/>
      <w:r w:rsidR="00BA5AC2" w:rsidRPr="00925F74">
        <w:rPr>
          <w:b/>
          <w:color w:val="3A3C41"/>
          <w:sz w:val="22"/>
          <w:szCs w:val="22"/>
        </w:rPr>
        <w:t xml:space="preserve">   </w:t>
      </w:r>
      <w:r w:rsidR="00BA5AC2" w:rsidRPr="00925F74">
        <w:rPr>
          <w:color w:val="3A3C41"/>
          <w:sz w:val="22"/>
          <w:szCs w:val="22"/>
        </w:rPr>
        <w:t>Kasa + Banka + Kısa Vadeli Alacaklar</w:t>
      </w:r>
      <w:r w:rsidR="00BA5AC2" w:rsidRPr="00925F74">
        <w:rPr>
          <w:b/>
          <w:color w:val="3A3C41"/>
          <w:sz w:val="22"/>
          <w:szCs w:val="22"/>
        </w:rPr>
        <w:t xml:space="preserve"> </w:t>
      </w:r>
      <w:r w:rsidRPr="00925F74">
        <w:rPr>
          <w:color w:val="3A3C41"/>
          <w:sz w:val="22"/>
          <w:szCs w:val="22"/>
        </w:rPr>
        <w:t xml:space="preserve"> / Kısa Vadeli </w:t>
      </w:r>
      <w:r w:rsidR="00BA5AC2" w:rsidRPr="00925F74">
        <w:rPr>
          <w:color w:val="3A3C41"/>
          <w:sz w:val="22"/>
          <w:szCs w:val="22"/>
        </w:rPr>
        <w:t>Borçlar</w:t>
      </w:r>
      <w:r w:rsidRPr="00925F74">
        <w:rPr>
          <w:color w:val="3A3C41"/>
          <w:sz w:val="22"/>
          <w:szCs w:val="22"/>
        </w:rPr>
        <w:t xml:space="preserve">   </w:t>
      </w:r>
    </w:p>
    <w:p w:rsidR="004A7681" w:rsidRPr="00925F74" w:rsidRDefault="004A7681" w:rsidP="00925F74">
      <w:pPr>
        <w:jc w:val="both"/>
        <w:rPr>
          <w:color w:val="3A3C41"/>
          <w:sz w:val="22"/>
          <w:szCs w:val="22"/>
        </w:rPr>
      </w:pPr>
    </w:p>
    <w:p w:rsidR="004A7681" w:rsidRPr="00925F74" w:rsidRDefault="004A7681" w:rsidP="00925F74">
      <w:pPr>
        <w:jc w:val="both"/>
        <w:rPr>
          <w:color w:val="3A3C41"/>
          <w:sz w:val="22"/>
          <w:szCs w:val="22"/>
        </w:rPr>
      </w:pPr>
      <w:r w:rsidRPr="00925F74">
        <w:rPr>
          <w:b/>
          <w:color w:val="3A3C41"/>
          <w:sz w:val="22"/>
          <w:szCs w:val="22"/>
        </w:rPr>
        <w:t>Kaldıraç Oranı:</w:t>
      </w:r>
      <w:r w:rsidRPr="00925F74">
        <w:rPr>
          <w:color w:val="3A3C41"/>
          <w:sz w:val="22"/>
          <w:szCs w:val="22"/>
        </w:rPr>
        <w:t xml:space="preserve">  </w:t>
      </w:r>
      <w:r w:rsidR="00EA4C3A" w:rsidRPr="00925F74">
        <w:rPr>
          <w:color w:val="3A3C41"/>
          <w:sz w:val="22"/>
          <w:szCs w:val="22"/>
        </w:rPr>
        <w:t>Kısa Vadeli Borçlar + Uzun Vadeli Borçlar</w:t>
      </w:r>
      <w:r w:rsidRPr="00925F74">
        <w:rPr>
          <w:color w:val="3A3C41"/>
          <w:sz w:val="22"/>
          <w:szCs w:val="22"/>
        </w:rPr>
        <w:t xml:space="preserve"> / Toplam Varlıklar</w:t>
      </w:r>
    </w:p>
    <w:tbl>
      <w:tblPr>
        <w:tblW w:w="0" w:type="auto"/>
        <w:tblBorders>
          <w:top w:val="single" w:sz="2" w:space="0" w:color="E0E0E0"/>
          <w:left w:val="single" w:sz="6" w:space="0" w:color="E0E0E0"/>
          <w:bottom w:val="single" w:sz="6" w:space="0" w:color="E0E0E0"/>
          <w:right w:val="single" w:sz="6" w:space="0" w:color="E0E0E0"/>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7274"/>
      </w:tblGrid>
      <w:tr w:rsidR="0029734E" w:rsidRPr="0029734E" w:rsidTr="008E1DEB">
        <w:trPr>
          <w:hidden/>
        </w:trPr>
        <w:tc>
          <w:tcPr>
            <w:tcW w:w="1365" w:type="dxa"/>
            <w:tcBorders>
              <w:top w:val="single" w:sz="6" w:space="0" w:color="E0E0E0"/>
              <w:left w:val="single" w:sz="6" w:space="0" w:color="E0E0E0"/>
              <w:bottom w:val="single" w:sz="6" w:space="0" w:color="E0E0E0"/>
              <w:right w:val="single" w:sz="6" w:space="0" w:color="E0E0E0"/>
            </w:tcBorders>
            <w:shd w:val="clear" w:color="auto" w:fill="FFFFFF"/>
            <w:tcMar>
              <w:top w:w="75" w:type="dxa"/>
              <w:left w:w="105" w:type="dxa"/>
              <w:bottom w:w="75" w:type="dxa"/>
              <w:right w:w="105" w:type="dxa"/>
            </w:tcMar>
            <w:vAlign w:val="center"/>
            <w:hideMark/>
          </w:tcPr>
          <w:p w:rsidR="0029734E" w:rsidRPr="0029734E" w:rsidRDefault="0029734E" w:rsidP="00925F74">
            <w:pPr>
              <w:jc w:val="both"/>
              <w:rPr>
                <w:vanish/>
                <w:color w:val="3A3C41"/>
                <w:sz w:val="22"/>
                <w:szCs w:val="22"/>
              </w:rPr>
            </w:pPr>
            <w:r w:rsidRPr="0029734E">
              <w:rPr>
                <w:vanish/>
                <w:color w:val="3A3C41"/>
                <w:sz w:val="22"/>
                <w:szCs w:val="22"/>
              </w:rPr>
              <w:t>Nakit Oranı :</w:t>
            </w:r>
          </w:p>
        </w:tc>
        <w:tc>
          <w:tcPr>
            <w:tcW w:w="7274" w:type="dxa"/>
            <w:tcBorders>
              <w:top w:val="single" w:sz="6" w:space="0" w:color="E0E0E0"/>
              <w:left w:val="single" w:sz="6" w:space="0" w:color="E0E0E0"/>
              <w:bottom w:val="single" w:sz="6" w:space="0" w:color="E0E0E0"/>
              <w:right w:val="single" w:sz="6" w:space="0" w:color="E0E0E0"/>
            </w:tcBorders>
            <w:shd w:val="clear" w:color="auto" w:fill="FFFFFF"/>
            <w:tcMar>
              <w:top w:w="75" w:type="dxa"/>
              <w:left w:w="105" w:type="dxa"/>
              <w:bottom w:w="75" w:type="dxa"/>
              <w:right w:w="105" w:type="dxa"/>
            </w:tcMar>
            <w:vAlign w:val="center"/>
            <w:hideMark/>
          </w:tcPr>
          <w:p w:rsidR="0029734E" w:rsidRPr="0029734E" w:rsidRDefault="0029734E" w:rsidP="00925F74">
            <w:pPr>
              <w:spacing w:after="150"/>
              <w:jc w:val="both"/>
              <w:rPr>
                <w:vanish/>
                <w:color w:val="3A3C41"/>
                <w:sz w:val="22"/>
                <w:szCs w:val="22"/>
              </w:rPr>
            </w:pPr>
            <w:r w:rsidRPr="0029734E">
              <w:rPr>
                <w:vanish/>
                <w:color w:val="3A3C41"/>
                <w:sz w:val="22"/>
                <w:szCs w:val="22"/>
              </w:rPr>
              <w:t>Kasa + Banka</w:t>
            </w:r>
            <w:r w:rsidR="00455303" w:rsidRPr="00925F74">
              <w:rPr>
                <w:vanish/>
                <w:color w:val="3A3C41"/>
                <w:sz w:val="22"/>
                <w:szCs w:val="22"/>
              </w:rPr>
              <w:t xml:space="preserve">/ </w:t>
            </w:r>
            <w:r w:rsidRPr="0029734E">
              <w:rPr>
                <w:vanish/>
                <w:color w:val="3A3C41"/>
                <w:sz w:val="22"/>
                <w:szCs w:val="22"/>
              </w:rPr>
              <w:t>Kısa Vadeli Borçlar</w:t>
            </w:r>
          </w:p>
        </w:tc>
      </w:tr>
      <w:tr w:rsidR="0029734E" w:rsidRPr="0029734E" w:rsidTr="008E1DEB">
        <w:trPr>
          <w:hidden/>
        </w:trPr>
        <w:tc>
          <w:tcPr>
            <w:tcW w:w="1365" w:type="dxa"/>
            <w:tcBorders>
              <w:top w:val="single" w:sz="6" w:space="0" w:color="E0E0E0"/>
              <w:left w:val="single" w:sz="6" w:space="0" w:color="E0E0E0"/>
              <w:bottom w:val="single" w:sz="6" w:space="0" w:color="E0E0E0"/>
              <w:right w:val="single" w:sz="6" w:space="0" w:color="E0E0E0"/>
            </w:tcBorders>
            <w:shd w:val="clear" w:color="auto" w:fill="FFFFFF"/>
            <w:tcMar>
              <w:top w:w="75" w:type="dxa"/>
              <w:left w:w="105" w:type="dxa"/>
              <w:bottom w:w="75" w:type="dxa"/>
              <w:right w:w="105" w:type="dxa"/>
            </w:tcMar>
            <w:vAlign w:val="center"/>
            <w:hideMark/>
          </w:tcPr>
          <w:p w:rsidR="0029734E" w:rsidRPr="0029734E" w:rsidRDefault="0029734E" w:rsidP="00925F74">
            <w:pPr>
              <w:jc w:val="both"/>
              <w:rPr>
                <w:vanish/>
                <w:color w:val="3A3C41"/>
                <w:sz w:val="22"/>
                <w:szCs w:val="22"/>
              </w:rPr>
            </w:pPr>
            <w:r w:rsidRPr="0029734E">
              <w:rPr>
                <w:vanish/>
                <w:color w:val="3A3C41"/>
                <w:sz w:val="22"/>
                <w:szCs w:val="22"/>
              </w:rPr>
              <w:t xml:space="preserve">Likidite Oranı </w:t>
            </w:r>
          </w:p>
        </w:tc>
        <w:tc>
          <w:tcPr>
            <w:tcW w:w="7274" w:type="dxa"/>
            <w:tcBorders>
              <w:top w:val="single" w:sz="6" w:space="0" w:color="E0E0E0"/>
              <w:left w:val="single" w:sz="6" w:space="0" w:color="E0E0E0"/>
              <w:bottom w:val="single" w:sz="6" w:space="0" w:color="E0E0E0"/>
              <w:right w:val="single" w:sz="6" w:space="0" w:color="E0E0E0"/>
            </w:tcBorders>
            <w:shd w:val="clear" w:color="auto" w:fill="FFFFFF"/>
            <w:tcMar>
              <w:top w:w="75" w:type="dxa"/>
              <w:left w:w="105" w:type="dxa"/>
              <w:bottom w:w="75" w:type="dxa"/>
              <w:right w:w="105" w:type="dxa"/>
            </w:tcMar>
            <w:vAlign w:val="center"/>
            <w:hideMark/>
          </w:tcPr>
          <w:p w:rsidR="0029734E" w:rsidRPr="0029734E" w:rsidRDefault="0029734E" w:rsidP="00925F74">
            <w:pPr>
              <w:spacing w:after="150"/>
              <w:jc w:val="both"/>
              <w:rPr>
                <w:vanish/>
                <w:color w:val="3A3C41"/>
                <w:sz w:val="22"/>
                <w:szCs w:val="22"/>
              </w:rPr>
            </w:pPr>
            <w:r w:rsidRPr="0029734E">
              <w:rPr>
                <w:vanish/>
                <w:color w:val="3A3C41"/>
                <w:sz w:val="22"/>
                <w:szCs w:val="22"/>
              </w:rPr>
              <w:t>Kasa + Banka + Kısa Vadeli Alacaklar</w:t>
            </w:r>
            <w:r w:rsidR="00455303" w:rsidRPr="00925F74">
              <w:rPr>
                <w:vanish/>
                <w:color w:val="3A3C41"/>
                <w:sz w:val="22"/>
                <w:szCs w:val="22"/>
              </w:rPr>
              <w:t xml:space="preserve">/ </w:t>
            </w:r>
            <w:r w:rsidRPr="0029734E">
              <w:rPr>
                <w:vanish/>
                <w:color w:val="3A3C41"/>
                <w:sz w:val="22"/>
                <w:szCs w:val="22"/>
              </w:rPr>
              <w:t>Kısa Vadeli Borçlar</w:t>
            </w:r>
          </w:p>
        </w:tc>
      </w:tr>
      <w:tr w:rsidR="0029734E" w:rsidRPr="0029734E" w:rsidTr="008E1DEB">
        <w:trPr>
          <w:hidden/>
        </w:trPr>
        <w:tc>
          <w:tcPr>
            <w:tcW w:w="1365" w:type="dxa"/>
            <w:tcBorders>
              <w:top w:val="single" w:sz="6" w:space="0" w:color="E0E0E0"/>
              <w:left w:val="single" w:sz="6" w:space="0" w:color="E0E0E0"/>
              <w:bottom w:val="single" w:sz="6" w:space="0" w:color="E0E0E0"/>
              <w:right w:val="single" w:sz="6" w:space="0" w:color="E0E0E0"/>
            </w:tcBorders>
            <w:shd w:val="clear" w:color="auto" w:fill="FFFFFF"/>
            <w:tcMar>
              <w:top w:w="75" w:type="dxa"/>
              <w:left w:w="105" w:type="dxa"/>
              <w:bottom w:w="75" w:type="dxa"/>
              <w:right w:w="105" w:type="dxa"/>
            </w:tcMar>
            <w:vAlign w:val="center"/>
            <w:hideMark/>
          </w:tcPr>
          <w:p w:rsidR="0029734E" w:rsidRPr="0029734E" w:rsidRDefault="0029734E" w:rsidP="00925F74">
            <w:pPr>
              <w:jc w:val="both"/>
              <w:rPr>
                <w:vanish/>
                <w:color w:val="3A3C41"/>
                <w:sz w:val="22"/>
                <w:szCs w:val="22"/>
              </w:rPr>
            </w:pPr>
            <w:r w:rsidRPr="0029734E">
              <w:rPr>
                <w:vanish/>
                <w:color w:val="3A3C41"/>
                <w:sz w:val="22"/>
                <w:szCs w:val="22"/>
              </w:rPr>
              <w:t>Kaldıraç Oranı:</w:t>
            </w:r>
          </w:p>
        </w:tc>
        <w:tc>
          <w:tcPr>
            <w:tcW w:w="7274" w:type="dxa"/>
            <w:tcBorders>
              <w:top w:val="single" w:sz="6" w:space="0" w:color="E0E0E0"/>
              <w:left w:val="single" w:sz="6" w:space="0" w:color="E0E0E0"/>
              <w:bottom w:val="single" w:sz="6" w:space="0" w:color="E0E0E0"/>
              <w:right w:val="single" w:sz="6" w:space="0" w:color="E0E0E0"/>
            </w:tcBorders>
            <w:shd w:val="clear" w:color="auto" w:fill="FFFFFF"/>
            <w:tcMar>
              <w:top w:w="75" w:type="dxa"/>
              <w:left w:w="105" w:type="dxa"/>
              <w:bottom w:w="75" w:type="dxa"/>
              <w:right w:w="105" w:type="dxa"/>
            </w:tcMar>
            <w:vAlign w:val="center"/>
            <w:hideMark/>
          </w:tcPr>
          <w:p w:rsidR="0029734E" w:rsidRPr="0029734E" w:rsidRDefault="0029734E" w:rsidP="00925F74">
            <w:pPr>
              <w:spacing w:after="150"/>
              <w:jc w:val="both"/>
              <w:rPr>
                <w:vanish/>
                <w:color w:val="3A3C41"/>
                <w:sz w:val="22"/>
                <w:szCs w:val="22"/>
              </w:rPr>
            </w:pPr>
            <w:r w:rsidRPr="0029734E">
              <w:rPr>
                <w:vanish/>
                <w:color w:val="3A3C41"/>
                <w:sz w:val="22"/>
                <w:szCs w:val="22"/>
              </w:rPr>
              <w:t>Kısa Vadeli Borçlar + Uzun Vadeli Borçlar</w:t>
            </w:r>
            <w:r w:rsidR="00455303" w:rsidRPr="00925F74">
              <w:rPr>
                <w:vanish/>
                <w:color w:val="3A3C41"/>
                <w:sz w:val="22"/>
                <w:szCs w:val="22"/>
              </w:rPr>
              <w:t xml:space="preserve"> /</w:t>
            </w:r>
            <w:r w:rsidRPr="0029734E">
              <w:rPr>
                <w:vanish/>
                <w:color w:val="3A3C41"/>
                <w:sz w:val="22"/>
                <w:szCs w:val="22"/>
              </w:rPr>
              <w:t>Toplam Varlıklar</w:t>
            </w:r>
          </w:p>
        </w:tc>
      </w:tr>
    </w:tbl>
    <w:p w:rsidR="0029734E" w:rsidRPr="0029734E" w:rsidRDefault="0029734E" w:rsidP="00925F74">
      <w:pPr>
        <w:spacing w:after="150"/>
        <w:jc w:val="both"/>
        <w:rPr>
          <w:color w:val="333333"/>
          <w:sz w:val="22"/>
          <w:szCs w:val="22"/>
        </w:rPr>
      </w:pPr>
      <w:r w:rsidRPr="0029734E">
        <w:rPr>
          <w:color w:val="333333"/>
          <w:sz w:val="22"/>
          <w:szCs w:val="22"/>
        </w:rPr>
        <w:t>(2) Mükelleflerin mali durumlarının değerlendirilmesi sonucu; nakit oranının 0,1 veya 0,1’den küçük, likidite oranının 0,7 veya 0,7’den küçük ve kaldıraç oranının 0,7 veya 0,7’den büyük olması ve bu şartların bir arada bulunması halinde mükelleflerin çok zor durumda oldukları kabul edilir.</w:t>
      </w:r>
    </w:p>
    <w:p w:rsidR="0029734E" w:rsidRPr="0029734E" w:rsidRDefault="0029734E" w:rsidP="00925F74">
      <w:pPr>
        <w:spacing w:after="150"/>
        <w:jc w:val="both"/>
        <w:rPr>
          <w:color w:val="333333"/>
          <w:sz w:val="22"/>
          <w:szCs w:val="22"/>
        </w:rPr>
      </w:pPr>
      <w:r w:rsidRPr="0029734E">
        <w:rPr>
          <w:color w:val="333333"/>
          <w:sz w:val="22"/>
          <w:szCs w:val="22"/>
        </w:rPr>
        <w:t>(3) Çok zor durum halinin tespiti için yapılacak mali durum analizlerinde, 4/1/1961 tarihli ve </w:t>
      </w:r>
      <w:hyperlink r:id="rId8" w:history="1">
        <w:r w:rsidRPr="00925F74">
          <w:rPr>
            <w:b/>
            <w:bCs/>
            <w:color w:val="DD3333"/>
            <w:sz w:val="22"/>
            <w:szCs w:val="22"/>
          </w:rPr>
          <w:t>213 sayılı Vergi Usul Kanununun</w:t>
        </w:r>
      </w:hyperlink>
      <w:r w:rsidRPr="0029734E">
        <w:rPr>
          <w:color w:val="333333"/>
          <w:sz w:val="22"/>
          <w:szCs w:val="22"/>
        </w:rPr>
        <w:t xml:space="preserve"> 175 inci ve mükerrer </w:t>
      </w:r>
      <w:proofErr w:type="gramStart"/>
      <w:r w:rsidRPr="0029734E">
        <w:rPr>
          <w:color w:val="333333"/>
          <w:sz w:val="22"/>
          <w:szCs w:val="22"/>
        </w:rPr>
        <w:t xml:space="preserve">257 </w:t>
      </w:r>
      <w:proofErr w:type="spellStart"/>
      <w:r w:rsidRPr="0029734E">
        <w:rPr>
          <w:color w:val="333333"/>
          <w:sz w:val="22"/>
          <w:szCs w:val="22"/>
        </w:rPr>
        <w:t>nci</w:t>
      </w:r>
      <w:proofErr w:type="spellEnd"/>
      <w:proofErr w:type="gramEnd"/>
      <w:r w:rsidRPr="0029734E">
        <w:rPr>
          <w:color w:val="333333"/>
          <w:sz w:val="22"/>
          <w:szCs w:val="22"/>
        </w:rPr>
        <w:t xml:space="preserve"> maddelerinin Maliye Bakanlığına verdiği yetkiye dayanılarak yapılan düzenlemeler esas alınır.</w:t>
      </w:r>
    </w:p>
    <w:p w:rsidR="0029734E" w:rsidRPr="0029734E" w:rsidRDefault="00AE2F05" w:rsidP="00925F74">
      <w:pPr>
        <w:spacing w:after="150"/>
        <w:jc w:val="both"/>
        <w:rPr>
          <w:color w:val="333333"/>
          <w:sz w:val="22"/>
          <w:szCs w:val="22"/>
        </w:rPr>
      </w:pPr>
      <w:r w:rsidRPr="00925F74">
        <w:rPr>
          <w:color w:val="333333"/>
          <w:sz w:val="22"/>
          <w:szCs w:val="22"/>
        </w:rPr>
        <w:t>MADDE 2</w:t>
      </w:r>
      <w:r w:rsidR="0029734E" w:rsidRPr="0029734E">
        <w:rPr>
          <w:color w:val="333333"/>
          <w:sz w:val="22"/>
          <w:szCs w:val="22"/>
        </w:rPr>
        <w:t>- (1) 6183 sayılı Kanunun 48/A maddesi kapsamında tecil edilecek gecikme zammının, Türkiye İstatistik Kurumunun her ay için belirlediği Yurt İçi Üretici Fiyat Endeksinin (Yİ-ÜFE) aylık değişim oranları esas alınarak Yİ-ÜFE tutarı olarak hesaplanması uygun görülmüştür.</w:t>
      </w:r>
    </w:p>
    <w:p w:rsidR="0029734E" w:rsidRPr="0029734E" w:rsidRDefault="0029734E" w:rsidP="00925F74">
      <w:pPr>
        <w:spacing w:after="150"/>
        <w:jc w:val="both"/>
        <w:rPr>
          <w:color w:val="333333"/>
          <w:sz w:val="22"/>
          <w:szCs w:val="22"/>
        </w:rPr>
      </w:pPr>
      <w:r w:rsidRPr="00925F74">
        <w:rPr>
          <w:b/>
          <w:bCs/>
          <w:color w:val="333333"/>
          <w:sz w:val="22"/>
          <w:szCs w:val="22"/>
        </w:rPr>
        <w:t>Yürürlük</w:t>
      </w:r>
    </w:p>
    <w:p w:rsidR="0029734E" w:rsidRPr="0029734E" w:rsidRDefault="00AE2F05" w:rsidP="00925F74">
      <w:pPr>
        <w:spacing w:after="150"/>
        <w:jc w:val="both"/>
        <w:rPr>
          <w:color w:val="333333"/>
          <w:sz w:val="22"/>
          <w:szCs w:val="22"/>
        </w:rPr>
      </w:pPr>
      <w:r w:rsidRPr="00925F74">
        <w:rPr>
          <w:color w:val="333333"/>
          <w:sz w:val="22"/>
          <w:szCs w:val="22"/>
        </w:rPr>
        <w:t>MADDE 3</w:t>
      </w:r>
      <w:r w:rsidR="0029734E" w:rsidRPr="0029734E">
        <w:rPr>
          <w:color w:val="333333"/>
          <w:sz w:val="22"/>
          <w:szCs w:val="22"/>
        </w:rPr>
        <w:t>- (1) Bu Karar, 1/1/2018 tarihinden itibaren vadesi gelen alacaklara uygulanmak üzere yayımı tarihinde yürürlüğe girer.</w:t>
      </w:r>
    </w:p>
    <w:sectPr w:rsidR="0029734E" w:rsidRPr="0029734E" w:rsidSect="00DC6D3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284" w:footer="284"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89D" w:rsidRDefault="00CD489D">
      <w:r>
        <w:separator/>
      </w:r>
    </w:p>
  </w:endnote>
  <w:endnote w:type="continuationSeparator" w:id="0">
    <w:p w:rsidR="00CD489D" w:rsidRDefault="00CD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Palatino Linotype"/>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3E" w:rsidRDefault="00DC6D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89D" w:rsidRDefault="00CD489D">
      <w:r>
        <w:separator/>
      </w:r>
    </w:p>
  </w:footnote>
  <w:footnote w:type="continuationSeparator" w:id="0">
    <w:p w:rsidR="00CD489D" w:rsidRDefault="00CD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3E" w:rsidRDefault="00DC6D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8140594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3E" w:rsidRDefault="00DC6D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A063B"/>
    <w:multiLevelType w:val="hybridMultilevel"/>
    <w:tmpl w:val="E44E3BF8"/>
    <w:lvl w:ilvl="0" w:tplc="53A0952A">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9"/>
  </w:num>
  <w:num w:numId="3">
    <w:abstractNumId w:val="7"/>
  </w:num>
  <w:num w:numId="4">
    <w:abstractNumId w:val="4"/>
  </w:num>
  <w:num w:numId="5">
    <w:abstractNumId w:val="1"/>
  </w:num>
  <w:num w:numId="6">
    <w:abstractNumId w:val="8"/>
  </w:num>
  <w:num w:numId="7">
    <w:abstractNumId w:val="0"/>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4C7"/>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34E"/>
    <w:rsid w:val="00297ED8"/>
    <w:rsid w:val="002A04A3"/>
    <w:rsid w:val="002A2A5C"/>
    <w:rsid w:val="002A5026"/>
    <w:rsid w:val="002A7988"/>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5303"/>
    <w:rsid w:val="00456437"/>
    <w:rsid w:val="00456FCA"/>
    <w:rsid w:val="004616D3"/>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A7681"/>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44C"/>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A685E"/>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4F2E"/>
    <w:rsid w:val="00867A5F"/>
    <w:rsid w:val="00870514"/>
    <w:rsid w:val="00870EC6"/>
    <w:rsid w:val="00874F6F"/>
    <w:rsid w:val="00876F1B"/>
    <w:rsid w:val="0088049E"/>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1DEB"/>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5F74"/>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2F05"/>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0685"/>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AC2"/>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489D"/>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0942"/>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6D3E"/>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76B54"/>
    <w:rsid w:val="00E811BA"/>
    <w:rsid w:val="00E84C5D"/>
    <w:rsid w:val="00E85BE7"/>
    <w:rsid w:val="00E8682D"/>
    <w:rsid w:val="00E86BF4"/>
    <w:rsid w:val="00E87C32"/>
    <w:rsid w:val="00E908B9"/>
    <w:rsid w:val="00E91EDE"/>
    <w:rsid w:val="00E955FE"/>
    <w:rsid w:val="00E95BC4"/>
    <w:rsid w:val="00E960EE"/>
    <w:rsid w:val="00E96906"/>
    <w:rsid w:val="00E96FD3"/>
    <w:rsid w:val="00E97AD2"/>
    <w:rsid w:val="00EA3F62"/>
    <w:rsid w:val="00EA4972"/>
    <w:rsid w:val="00EA4C3A"/>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118D"/>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5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customStyle="1" w:styleId="zmlenmeyenBahsetme1">
    <w:name w:val="Çözümlenmeyen Bahsetme1"/>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B53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30639682">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69556587">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390424187">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14464459">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37527838">
      <w:bodyDiv w:val="1"/>
      <w:marLeft w:val="0"/>
      <w:marRight w:val="0"/>
      <w:marTop w:val="0"/>
      <w:marBottom w:val="0"/>
      <w:divBdr>
        <w:top w:val="none" w:sz="0" w:space="0" w:color="auto"/>
        <w:left w:val="none" w:sz="0" w:space="0" w:color="auto"/>
        <w:bottom w:val="none" w:sz="0" w:space="0" w:color="auto"/>
        <w:right w:val="none" w:sz="0" w:space="0" w:color="auto"/>
      </w:divBdr>
      <w:divsChild>
        <w:div w:id="1594051014">
          <w:marLeft w:val="0"/>
          <w:marRight w:val="0"/>
          <w:marTop w:val="0"/>
          <w:marBottom w:val="0"/>
          <w:divBdr>
            <w:top w:val="none" w:sz="0" w:space="0" w:color="auto"/>
            <w:left w:val="none" w:sz="0" w:space="0" w:color="auto"/>
            <w:bottom w:val="none" w:sz="0" w:space="0" w:color="auto"/>
            <w:right w:val="none" w:sz="0" w:space="0" w:color="auto"/>
          </w:divBdr>
          <w:divsChild>
            <w:div w:id="657461695">
              <w:marLeft w:val="0"/>
              <w:marRight w:val="0"/>
              <w:marTop w:val="0"/>
              <w:marBottom w:val="0"/>
              <w:divBdr>
                <w:top w:val="none" w:sz="0" w:space="0" w:color="auto"/>
                <w:left w:val="none" w:sz="0" w:space="0" w:color="auto"/>
                <w:bottom w:val="none" w:sz="0" w:space="0" w:color="auto"/>
                <w:right w:val="none" w:sz="0" w:space="0" w:color="auto"/>
              </w:divBdr>
              <w:divsChild>
                <w:div w:id="617568290">
                  <w:marLeft w:val="0"/>
                  <w:marRight w:val="0"/>
                  <w:marTop w:val="0"/>
                  <w:marBottom w:val="0"/>
                  <w:divBdr>
                    <w:top w:val="none" w:sz="0" w:space="0" w:color="auto"/>
                    <w:left w:val="none" w:sz="0" w:space="0" w:color="auto"/>
                    <w:bottom w:val="none" w:sz="0" w:space="0" w:color="auto"/>
                    <w:right w:val="none" w:sz="0" w:space="0" w:color="auto"/>
                  </w:divBdr>
                  <w:divsChild>
                    <w:div w:id="2084250881">
                      <w:marLeft w:val="-225"/>
                      <w:marRight w:val="-225"/>
                      <w:marTop w:val="0"/>
                      <w:marBottom w:val="0"/>
                      <w:divBdr>
                        <w:top w:val="none" w:sz="0" w:space="0" w:color="auto"/>
                        <w:left w:val="none" w:sz="0" w:space="0" w:color="auto"/>
                        <w:bottom w:val="none" w:sz="0" w:space="0" w:color="auto"/>
                        <w:right w:val="none" w:sz="0" w:space="0" w:color="auto"/>
                      </w:divBdr>
                      <w:divsChild>
                        <w:div w:id="984773069">
                          <w:marLeft w:val="0"/>
                          <w:marRight w:val="0"/>
                          <w:marTop w:val="0"/>
                          <w:marBottom w:val="0"/>
                          <w:divBdr>
                            <w:top w:val="none" w:sz="0" w:space="0" w:color="auto"/>
                            <w:left w:val="none" w:sz="0" w:space="0" w:color="auto"/>
                            <w:bottom w:val="none" w:sz="0" w:space="0" w:color="auto"/>
                            <w:right w:val="none" w:sz="0" w:space="0" w:color="auto"/>
                          </w:divBdr>
                          <w:divsChild>
                            <w:div w:id="1437795183">
                              <w:marLeft w:val="-225"/>
                              <w:marRight w:val="-225"/>
                              <w:marTop w:val="0"/>
                              <w:marBottom w:val="0"/>
                              <w:divBdr>
                                <w:top w:val="none" w:sz="0" w:space="0" w:color="auto"/>
                                <w:left w:val="none" w:sz="0" w:space="0" w:color="auto"/>
                                <w:bottom w:val="none" w:sz="0" w:space="0" w:color="auto"/>
                                <w:right w:val="none" w:sz="0" w:space="0" w:color="auto"/>
                              </w:divBdr>
                              <w:divsChild>
                                <w:div w:id="1949313536">
                                  <w:marLeft w:val="0"/>
                                  <w:marRight w:val="0"/>
                                  <w:marTop w:val="0"/>
                                  <w:marBottom w:val="0"/>
                                  <w:divBdr>
                                    <w:top w:val="none" w:sz="0" w:space="0" w:color="auto"/>
                                    <w:left w:val="none" w:sz="0" w:space="0" w:color="auto"/>
                                    <w:bottom w:val="none" w:sz="0" w:space="0" w:color="auto"/>
                                    <w:right w:val="none" w:sz="0" w:space="0" w:color="auto"/>
                                  </w:divBdr>
                                  <w:divsChild>
                                    <w:div w:id="1506823627">
                                      <w:marLeft w:val="0"/>
                                      <w:marRight w:val="0"/>
                                      <w:marTop w:val="0"/>
                                      <w:marBottom w:val="0"/>
                                      <w:divBdr>
                                        <w:top w:val="none" w:sz="0" w:space="0" w:color="auto"/>
                                        <w:left w:val="none" w:sz="0" w:space="0" w:color="auto"/>
                                        <w:bottom w:val="none" w:sz="0" w:space="0" w:color="auto"/>
                                        <w:right w:val="none" w:sz="0" w:space="0" w:color="auto"/>
                                      </w:divBdr>
                                      <w:divsChild>
                                        <w:div w:id="1384794126">
                                          <w:marLeft w:val="0"/>
                                          <w:marRight w:val="0"/>
                                          <w:marTop w:val="0"/>
                                          <w:marBottom w:val="0"/>
                                          <w:divBdr>
                                            <w:top w:val="none" w:sz="0" w:space="0" w:color="auto"/>
                                            <w:left w:val="none" w:sz="0" w:space="0" w:color="auto"/>
                                            <w:bottom w:val="none" w:sz="0" w:space="0" w:color="auto"/>
                                            <w:right w:val="none" w:sz="0" w:space="0" w:color="auto"/>
                                          </w:divBdr>
                                          <w:divsChild>
                                            <w:div w:id="1465540719">
                                              <w:marLeft w:val="0"/>
                                              <w:marRight w:val="0"/>
                                              <w:marTop w:val="0"/>
                                              <w:marBottom w:val="0"/>
                                              <w:divBdr>
                                                <w:top w:val="none" w:sz="0" w:space="0" w:color="auto"/>
                                                <w:left w:val="none" w:sz="0" w:space="0" w:color="auto"/>
                                                <w:bottom w:val="none" w:sz="0" w:space="0" w:color="auto"/>
                                                <w:right w:val="none" w:sz="0" w:space="0" w:color="auto"/>
                                              </w:divBdr>
                                              <w:divsChild>
                                                <w:div w:id="13061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87830282">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2015/01/02/vergi-usul-kanunu-vuk-213-sayili-kanu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CCFA-66D2-47AD-8E46-71D217A2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Asista YMM A.Ş.</dc:title>
  <dc:creator/>
  <cp:lastModifiedBy/>
  <cp:revision>1</cp:revision>
  <dcterms:created xsi:type="dcterms:W3CDTF">2018-02-28T14:03:00Z</dcterms:created>
  <dcterms:modified xsi:type="dcterms:W3CDTF">2018-03-01T07:39:00Z</dcterms:modified>
</cp:coreProperties>
</file>